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6671C" w14:textId="77777777" w:rsidR="007C4CBE" w:rsidRPr="007C4CBE" w:rsidRDefault="007C4CBE" w:rsidP="00113AF5">
      <w:pPr>
        <w:shd w:val="clear" w:color="auto" w:fill="FFFFFF"/>
        <w:spacing w:after="0" w:line="240" w:lineRule="auto"/>
        <w:jc w:val="both"/>
        <w:rPr>
          <w:rFonts w:ascii="Tahoma" w:eastAsia="Times New Roman" w:hAnsi="Tahoma" w:cs="Tahoma"/>
          <w:sz w:val="18"/>
          <w:szCs w:val="18"/>
          <w:lang w:eastAsia="pt-BR"/>
        </w:rPr>
      </w:pPr>
      <w:r w:rsidRPr="007C4CBE">
        <w:rPr>
          <w:rFonts w:ascii="Tahoma" w:eastAsia="Times New Roman" w:hAnsi="Tahoma" w:cs="Tahoma"/>
          <w:sz w:val="18"/>
          <w:szCs w:val="18"/>
          <w:lang w:eastAsia="pt-BR"/>
        </w:rPr>
        <w:t>8101282 - PATRIMONIO MATERIAL E IMATERIAL - Turma: 01 (2020.2)</w:t>
      </w:r>
    </w:p>
    <w:p w14:paraId="57BE9056" w14:textId="72CB4194" w:rsidR="007C4CBE" w:rsidRPr="00306B87" w:rsidRDefault="007C4CBE" w:rsidP="00113AF5">
      <w:pPr>
        <w:shd w:val="clear" w:color="auto" w:fill="FFFFFF"/>
        <w:spacing w:after="0" w:line="240" w:lineRule="auto"/>
        <w:jc w:val="both"/>
        <w:rPr>
          <w:rFonts w:ascii="Tahoma" w:eastAsia="Times New Roman" w:hAnsi="Tahoma" w:cs="Tahoma"/>
          <w:sz w:val="18"/>
          <w:szCs w:val="18"/>
          <w:lang w:eastAsia="pt-BR"/>
        </w:rPr>
      </w:pPr>
      <w:r w:rsidRPr="007C4CBE">
        <w:rPr>
          <w:rFonts w:ascii="Tahoma" w:eastAsia="Times New Roman" w:hAnsi="Tahoma" w:cs="Tahoma"/>
          <w:b/>
          <w:bCs/>
          <w:sz w:val="18"/>
          <w:szCs w:val="18"/>
          <w:lang w:eastAsia="pt-BR"/>
        </w:rPr>
        <w:t>Carga Horária:</w:t>
      </w:r>
      <w:r w:rsidRPr="007C4CBE">
        <w:rPr>
          <w:rFonts w:ascii="Tahoma" w:eastAsia="Times New Roman" w:hAnsi="Tahoma" w:cs="Tahoma"/>
          <w:sz w:val="18"/>
          <w:szCs w:val="18"/>
          <w:lang w:eastAsia="pt-BR"/>
        </w:rPr>
        <w:t>60h</w:t>
      </w:r>
    </w:p>
    <w:p w14:paraId="7A9FB34A" w14:textId="6C0F70EF" w:rsidR="00306B87" w:rsidRPr="00306B87" w:rsidRDefault="00306B87" w:rsidP="00113AF5">
      <w:pPr>
        <w:shd w:val="clear" w:color="auto" w:fill="FFFFFF"/>
        <w:spacing w:after="0" w:line="240" w:lineRule="auto"/>
        <w:jc w:val="both"/>
        <w:rPr>
          <w:rFonts w:ascii="Arial" w:eastAsia="Times New Roman" w:hAnsi="Arial" w:cs="Arial"/>
          <w:lang w:eastAsia="pt-BR"/>
        </w:rPr>
      </w:pPr>
    </w:p>
    <w:p w14:paraId="276C7FFB" w14:textId="64ABE099" w:rsidR="00306B87" w:rsidRPr="00306B87" w:rsidRDefault="00306B87" w:rsidP="00113AF5">
      <w:pPr>
        <w:shd w:val="clear" w:color="auto" w:fill="FFFFFF"/>
        <w:spacing w:after="0" w:line="240" w:lineRule="auto"/>
        <w:jc w:val="both"/>
        <w:rPr>
          <w:rFonts w:ascii="Arial" w:eastAsia="Times New Roman" w:hAnsi="Arial" w:cs="Arial"/>
          <w:lang w:eastAsia="pt-BR"/>
        </w:rPr>
      </w:pPr>
      <w:r w:rsidRPr="00306B87">
        <w:rPr>
          <w:rFonts w:ascii="Arial" w:eastAsia="Times New Roman" w:hAnsi="Arial" w:cs="Arial"/>
          <w:lang w:eastAsia="pt-BR"/>
        </w:rPr>
        <w:t>Componente Curricular da Disciplina</w:t>
      </w:r>
    </w:p>
    <w:p w14:paraId="3E442C17" w14:textId="585C3C21" w:rsidR="00306B87" w:rsidRDefault="00306B87" w:rsidP="00113AF5">
      <w:pPr>
        <w:shd w:val="clear" w:color="auto" w:fill="FFFFFF"/>
        <w:spacing w:after="0" w:line="240" w:lineRule="auto"/>
        <w:jc w:val="both"/>
        <w:rPr>
          <w:rFonts w:ascii="Tahoma" w:eastAsia="Times New Roman" w:hAnsi="Tahoma" w:cs="Tahoma"/>
          <w:color w:val="6A727D"/>
          <w:sz w:val="18"/>
          <w:szCs w:val="18"/>
          <w:lang w:eastAsia="pt-BR"/>
        </w:rPr>
      </w:pPr>
    </w:p>
    <w:p w14:paraId="4B09ABB2" w14:textId="77777777" w:rsidR="00306B87" w:rsidRPr="00306B87" w:rsidRDefault="00306B87" w:rsidP="00306B87">
      <w:pPr>
        <w:spacing w:after="0" w:line="360" w:lineRule="auto"/>
        <w:rPr>
          <w:rFonts w:ascii="Times New Roman" w:eastAsia="Times New Roman" w:hAnsi="Times New Roman" w:cs="Times New Roman"/>
          <w:lang w:eastAsia="pt-BR"/>
        </w:rPr>
      </w:pPr>
      <w:r w:rsidRPr="00306B87">
        <w:rPr>
          <w:rFonts w:ascii="Times New Roman" w:eastAsia="Times New Roman" w:hAnsi="Times New Roman" w:cs="Times New Roman"/>
          <w:b/>
          <w:bCs/>
          <w:lang w:eastAsia="pt-BR"/>
        </w:rPr>
        <w:t>Ementa:</w:t>
      </w:r>
    </w:p>
    <w:p w14:paraId="4D0CB47D" w14:textId="178AF790" w:rsidR="00306B87" w:rsidRDefault="00306B87" w:rsidP="00306B87">
      <w:pPr>
        <w:spacing w:after="0" w:line="276" w:lineRule="auto"/>
        <w:jc w:val="both"/>
        <w:rPr>
          <w:rFonts w:ascii="Times New Roman" w:eastAsia="Times New Roman" w:hAnsi="Times New Roman" w:cs="Times New Roman"/>
          <w:lang w:eastAsia="pt-BR"/>
        </w:rPr>
      </w:pPr>
      <w:r w:rsidRPr="00306B87">
        <w:rPr>
          <w:rFonts w:ascii="Times New Roman" w:eastAsia="Times New Roman" w:hAnsi="Times New Roman" w:cs="Times New Roman"/>
          <w:b/>
          <w:bCs/>
          <w:lang w:eastAsia="pt-BR"/>
        </w:rPr>
        <w:t>Objetivos:</w:t>
      </w:r>
      <w:r>
        <w:rPr>
          <w:rFonts w:ascii="Times New Roman" w:eastAsia="Times New Roman" w:hAnsi="Times New Roman" w:cs="Times New Roman"/>
          <w:b/>
          <w:bCs/>
          <w:lang w:eastAsia="pt-BR"/>
        </w:rPr>
        <w:t xml:space="preserve"> </w:t>
      </w:r>
      <w:r w:rsidRPr="00306B87">
        <w:rPr>
          <w:rFonts w:ascii="Times New Roman" w:eastAsia="Times New Roman" w:hAnsi="Times New Roman" w:cs="Times New Roman"/>
          <w:lang w:eastAsia="pt-BR"/>
        </w:rPr>
        <w:t>A disciplina aborda os conceitos introdutórios sobre patrimônio cultural material e imaterial. Políticas públicas do patrimônio cultural no Brasil. Gestão do patrimônio, museus e etnografia. Espaço público e cidades. Política do patrimônio imaterial – INRC. Desdobramentos do tema e novo</w:t>
      </w:r>
      <w:bookmarkStart w:id="0" w:name="_GoBack"/>
      <w:bookmarkEnd w:id="0"/>
      <w:r w:rsidRPr="00306B87">
        <w:rPr>
          <w:rFonts w:ascii="Times New Roman" w:eastAsia="Times New Roman" w:hAnsi="Times New Roman" w:cs="Times New Roman"/>
          <w:lang w:eastAsia="pt-BR"/>
        </w:rPr>
        <w:t>s horizontes de pesquisa antropológica na área</w:t>
      </w:r>
      <w:r>
        <w:rPr>
          <w:rFonts w:ascii="Times New Roman" w:eastAsia="Times New Roman" w:hAnsi="Times New Roman" w:cs="Times New Roman"/>
          <w:lang w:eastAsia="pt-BR"/>
        </w:rPr>
        <w:t xml:space="preserve"> em época de Pandemia</w:t>
      </w:r>
      <w:r w:rsidRPr="00306B87">
        <w:rPr>
          <w:rFonts w:ascii="Times New Roman" w:eastAsia="Times New Roman" w:hAnsi="Times New Roman" w:cs="Times New Roman"/>
          <w:lang w:eastAsia="pt-BR"/>
        </w:rPr>
        <w:t>.</w:t>
      </w:r>
    </w:p>
    <w:p w14:paraId="4947FCA5" w14:textId="77777777" w:rsidR="00306B87" w:rsidRPr="00306B87" w:rsidRDefault="00306B87" w:rsidP="00306B87">
      <w:pPr>
        <w:spacing w:after="0" w:line="360" w:lineRule="auto"/>
        <w:jc w:val="both"/>
        <w:rPr>
          <w:rFonts w:ascii="Times New Roman" w:eastAsia="Times New Roman" w:hAnsi="Times New Roman" w:cs="Times New Roman"/>
          <w:lang w:eastAsia="pt-BR"/>
        </w:rPr>
      </w:pPr>
    </w:p>
    <w:p w14:paraId="5C067733" w14:textId="77777777" w:rsidR="00306B87" w:rsidRDefault="00306B87" w:rsidP="00306B87">
      <w:pPr>
        <w:spacing w:after="0" w:line="360" w:lineRule="auto"/>
        <w:rPr>
          <w:rFonts w:ascii="Times New Roman" w:eastAsia="Times New Roman" w:hAnsi="Times New Roman" w:cs="Times New Roman"/>
          <w:b/>
          <w:bCs/>
          <w:lang w:eastAsia="pt-BR"/>
        </w:rPr>
      </w:pPr>
      <w:r w:rsidRPr="00306B87">
        <w:rPr>
          <w:rFonts w:ascii="Times New Roman" w:eastAsia="Times New Roman" w:hAnsi="Times New Roman" w:cs="Times New Roman"/>
          <w:b/>
          <w:bCs/>
          <w:lang w:eastAsia="pt-BR"/>
        </w:rPr>
        <w:t>Conteúdo:</w:t>
      </w:r>
      <w:r>
        <w:rPr>
          <w:rFonts w:ascii="Times New Roman" w:eastAsia="Times New Roman" w:hAnsi="Times New Roman" w:cs="Times New Roman"/>
          <w:b/>
          <w:bCs/>
          <w:lang w:eastAsia="pt-BR"/>
        </w:rPr>
        <w:t xml:space="preserve"> </w:t>
      </w:r>
    </w:p>
    <w:p w14:paraId="7A8C2218" w14:textId="77777777" w:rsidR="00306B87" w:rsidRDefault="00306B87" w:rsidP="00306B87">
      <w:pPr>
        <w:spacing w:after="0" w:line="276" w:lineRule="auto"/>
        <w:jc w:val="both"/>
        <w:rPr>
          <w:rFonts w:ascii="Times New Roman" w:eastAsia="Times New Roman" w:hAnsi="Times New Roman" w:cs="Times New Roman"/>
          <w:lang w:eastAsia="pt-BR"/>
        </w:rPr>
      </w:pPr>
      <w:r w:rsidRPr="00306B87">
        <w:rPr>
          <w:rFonts w:ascii="Times New Roman" w:eastAsia="Times New Roman" w:hAnsi="Times New Roman" w:cs="Times New Roman"/>
          <w:lang w:eastAsia="pt-BR"/>
        </w:rPr>
        <w:t xml:space="preserve">Unidade I – Conceito de Patrimônio histórico e artístico. A trajetória do Patrimônio. 1. Patrimônio artístico e cultural e a missão da universidade. Estado-Nação e esfera pública. 2. Conceito de Museu, Museus populares e Espaços Culturais. 3. A trajetória do Patrimônio no contexto mundial. Políticas patrimoniais no Brasil. </w:t>
      </w:r>
    </w:p>
    <w:p w14:paraId="6FF11009" w14:textId="77777777" w:rsidR="00306B87" w:rsidRDefault="00306B87" w:rsidP="00306B87">
      <w:pPr>
        <w:spacing w:after="0" w:line="276" w:lineRule="auto"/>
        <w:jc w:val="both"/>
        <w:rPr>
          <w:rFonts w:ascii="Times New Roman" w:eastAsia="Times New Roman" w:hAnsi="Times New Roman" w:cs="Times New Roman"/>
          <w:lang w:eastAsia="pt-BR"/>
        </w:rPr>
      </w:pPr>
      <w:r w:rsidRPr="00306B87">
        <w:rPr>
          <w:rFonts w:ascii="Times New Roman" w:eastAsia="Times New Roman" w:hAnsi="Times New Roman" w:cs="Times New Roman"/>
          <w:lang w:eastAsia="pt-BR"/>
        </w:rPr>
        <w:t xml:space="preserve">Unidade II – Memória e Patrimônio. Memória e narrativas nacionais. Patrimônio Material e Imaterial. 1. Patrimônio, natureza e cultura. Patrimônio como categoria de pensamento 2. Memória e narrativas nacionais: os diferentes conceitos de museu 3. Patrimônio Cultural Material e Imaterial </w:t>
      </w:r>
    </w:p>
    <w:p w14:paraId="7B74FDAB" w14:textId="4CF03AC9" w:rsidR="00306B87" w:rsidRDefault="00306B87" w:rsidP="00306B87">
      <w:pPr>
        <w:spacing w:after="0" w:line="276" w:lineRule="auto"/>
        <w:jc w:val="both"/>
        <w:rPr>
          <w:rFonts w:ascii="Times New Roman" w:eastAsia="Times New Roman" w:hAnsi="Times New Roman" w:cs="Times New Roman"/>
          <w:lang w:eastAsia="pt-BR"/>
        </w:rPr>
      </w:pPr>
      <w:r w:rsidRPr="00306B87">
        <w:rPr>
          <w:rFonts w:ascii="Times New Roman" w:eastAsia="Times New Roman" w:hAnsi="Times New Roman" w:cs="Times New Roman"/>
          <w:lang w:eastAsia="pt-BR"/>
        </w:rPr>
        <w:t>Unidade III – Políticas públicas e patrimônio cultural. Patrimônio, espaço público e cidades. Desdobramentos contemporâneos do tema. 1. O registro das manifestações culturais tradicionais, Patrimônio Imaterial – INRC e seus desdobramentos; o funk como patrimônio. 2. O fetiche do patrimônio. O Patrimônio Cultural e seus usos: a dimensão urbana. 3. Tombamento, museus, espaço público, cidades e a experiência urbana contemporânea. Intervenção urbana e arte pública.</w:t>
      </w:r>
    </w:p>
    <w:p w14:paraId="370C083D" w14:textId="77777777" w:rsidR="00306B87" w:rsidRPr="00306B87" w:rsidRDefault="00306B87" w:rsidP="00306B87">
      <w:pPr>
        <w:spacing w:after="0" w:line="276" w:lineRule="auto"/>
        <w:jc w:val="both"/>
        <w:rPr>
          <w:rFonts w:ascii="Times New Roman" w:eastAsia="Times New Roman" w:hAnsi="Times New Roman" w:cs="Times New Roman"/>
          <w:lang w:eastAsia="pt-BR"/>
        </w:rPr>
      </w:pPr>
    </w:p>
    <w:p w14:paraId="44D1056F" w14:textId="77777777" w:rsidR="00306B87" w:rsidRDefault="00306B87" w:rsidP="00306B87">
      <w:pPr>
        <w:spacing w:after="0" w:line="360" w:lineRule="auto"/>
        <w:rPr>
          <w:rFonts w:ascii="Times New Roman" w:eastAsia="Times New Roman" w:hAnsi="Times New Roman" w:cs="Times New Roman"/>
          <w:b/>
          <w:bCs/>
          <w:lang w:eastAsia="pt-BR"/>
        </w:rPr>
      </w:pPr>
      <w:r w:rsidRPr="00306B87">
        <w:rPr>
          <w:rFonts w:ascii="Times New Roman" w:eastAsia="Times New Roman" w:hAnsi="Times New Roman" w:cs="Times New Roman"/>
          <w:b/>
          <w:bCs/>
          <w:lang w:eastAsia="pt-BR"/>
        </w:rPr>
        <w:t>Habilidades / Competências:</w:t>
      </w:r>
    </w:p>
    <w:p w14:paraId="5234764A" w14:textId="4DC89082" w:rsidR="00306B87" w:rsidRPr="00306B87" w:rsidRDefault="00306B87" w:rsidP="00306B87">
      <w:pPr>
        <w:spacing w:after="0" w:line="276" w:lineRule="auto"/>
        <w:jc w:val="both"/>
        <w:rPr>
          <w:rFonts w:ascii="Times New Roman" w:eastAsia="Times New Roman" w:hAnsi="Times New Roman" w:cs="Times New Roman"/>
          <w:lang w:eastAsia="pt-BR"/>
        </w:rPr>
      </w:pPr>
      <w:r w:rsidRPr="00306B87">
        <w:rPr>
          <w:rFonts w:ascii="Times New Roman" w:eastAsia="Times New Roman" w:hAnsi="Times New Roman" w:cs="Times New Roman"/>
          <w:lang w:eastAsia="pt-BR"/>
        </w:rPr>
        <w:t>Propiciar a reflexão teórica e metodológica sobre as principais abordagens do conceito de patrimônio cultural material e imaterial, gestão do patrimônio, museus e etnografia. Iniciar o aluno no processo de desenvolvimento de políticas públicas de patrimônio que aconteceram no Brasil e no mundo. Nesse sentido, o conceito de Estado-Nação e de políticas públicas são fundamentais para compreender o conceito de patrimônio. Discutir a gestão do Patrimônio cultural no Brasil e o método etnográfico, o que é o INRC e a nova política de patrimônio imaterial. Quais os desdobramentos do tema para a pesquisa antropológica, as novas concepções de museus e as relações entre imagem, museu e acervo digital.</w:t>
      </w:r>
      <w:r>
        <w:rPr>
          <w:rFonts w:ascii="Times New Roman" w:eastAsia="Times New Roman" w:hAnsi="Times New Roman" w:cs="Times New Roman"/>
          <w:lang w:eastAsia="pt-BR"/>
        </w:rPr>
        <w:t xml:space="preserve"> Visitas virtuais à Museus e Centros Culturais a definir.</w:t>
      </w:r>
    </w:p>
    <w:p w14:paraId="41AAE7C0" w14:textId="57998D23" w:rsidR="00306B87" w:rsidRPr="00306B87" w:rsidRDefault="00306B87" w:rsidP="00306B87">
      <w:pPr>
        <w:spacing w:after="0" w:line="360" w:lineRule="auto"/>
        <w:rPr>
          <w:rFonts w:ascii="Times New Roman" w:eastAsia="Times New Roman" w:hAnsi="Times New Roman" w:cs="Times New Roman"/>
          <w:lang w:eastAsia="pt-BR"/>
        </w:rPr>
      </w:pPr>
    </w:p>
    <w:p w14:paraId="090F4AF7" w14:textId="77777777" w:rsidR="00490BD7" w:rsidRDefault="00306B87" w:rsidP="00306B87">
      <w:pPr>
        <w:spacing w:after="0" w:line="276" w:lineRule="auto"/>
        <w:jc w:val="both"/>
        <w:rPr>
          <w:rFonts w:ascii="Times New Roman" w:eastAsia="Times New Roman" w:hAnsi="Times New Roman" w:cs="Times New Roman"/>
          <w:b/>
          <w:bCs/>
          <w:lang w:eastAsia="pt-BR"/>
        </w:rPr>
      </w:pPr>
      <w:r w:rsidRPr="00306B87">
        <w:rPr>
          <w:rFonts w:ascii="Times New Roman" w:eastAsia="Times New Roman" w:hAnsi="Times New Roman" w:cs="Times New Roman"/>
          <w:b/>
          <w:bCs/>
          <w:lang w:eastAsia="pt-BR"/>
        </w:rPr>
        <w:t>Metodologia</w:t>
      </w:r>
      <w:r>
        <w:rPr>
          <w:rFonts w:ascii="Times New Roman" w:eastAsia="Times New Roman" w:hAnsi="Times New Roman" w:cs="Times New Roman"/>
          <w:b/>
          <w:bCs/>
          <w:lang w:eastAsia="pt-BR"/>
        </w:rPr>
        <w:t xml:space="preserve"> de Ensino e Avaliação</w:t>
      </w:r>
      <w:r w:rsidRPr="00306B87">
        <w:rPr>
          <w:rFonts w:ascii="Times New Roman" w:eastAsia="Times New Roman" w:hAnsi="Times New Roman" w:cs="Times New Roman"/>
          <w:b/>
          <w:bCs/>
          <w:lang w:eastAsia="pt-BR"/>
        </w:rPr>
        <w:t>:</w:t>
      </w:r>
      <w:r>
        <w:rPr>
          <w:rFonts w:ascii="Times New Roman" w:eastAsia="Times New Roman" w:hAnsi="Times New Roman" w:cs="Times New Roman"/>
          <w:b/>
          <w:bCs/>
          <w:lang w:eastAsia="pt-BR"/>
        </w:rPr>
        <w:t xml:space="preserve"> </w:t>
      </w:r>
    </w:p>
    <w:p w14:paraId="548975AF" w14:textId="699EB83F" w:rsidR="00306B87" w:rsidRPr="00306B87" w:rsidRDefault="00306B87" w:rsidP="00306B87">
      <w:pPr>
        <w:spacing w:after="0" w:line="276" w:lineRule="auto"/>
        <w:jc w:val="both"/>
        <w:rPr>
          <w:rFonts w:ascii="Times New Roman" w:eastAsia="Times New Roman" w:hAnsi="Times New Roman" w:cs="Times New Roman"/>
          <w:lang w:eastAsia="pt-BR"/>
        </w:rPr>
      </w:pPr>
      <w:r w:rsidRPr="00306B87">
        <w:rPr>
          <w:rFonts w:ascii="Times New Roman" w:eastAsia="Times New Roman" w:hAnsi="Times New Roman" w:cs="Times New Roman"/>
          <w:lang w:eastAsia="pt-BR"/>
        </w:rPr>
        <w:t xml:space="preserve">O curso será desenvolvido por meio de aulas abertas à participação dos alunos, seja através de questões a eles dirigidas (oralmente ou por meio de exercícios escritos) ou por eles levantadas. Será exigida, em cada sessão, a leitura prévia dos textos programados, imprescindível à participação e ao aproveitamento dos estudos na disciplina. A bibliografia complementar deve ser procurada para a apreensão de contextos complementares utilizados, em conformidade com os assuntos abordados ao longo das aulas. O conteúdo da segunda unidade, embora seja objeto de estudo específico ao longo da disciplina, será trabalhado de modo transversal em todas as unidades, estimulando a análise dos discentes acerca dos elementos normativos dos textos a serem </w:t>
      </w:r>
      <w:r w:rsidRPr="00306B87">
        <w:rPr>
          <w:rFonts w:ascii="Times New Roman" w:eastAsia="Times New Roman" w:hAnsi="Times New Roman" w:cs="Times New Roman"/>
          <w:lang w:eastAsia="pt-BR"/>
        </w:rPr>
        <w:lastRenderedPageBreak/>
        <w:t xml:space="preserve">lidos e discutido. Recursos utilizados: quadro branco e pincel, textos xerografados, com eventual utilização de </w:t>
      </w:r>
      <w:proofErr w:type="spellStart"/>
      <w:r w:rsidRPr="00306B87">
        <w:rPr>
          <w:rFonts w:ascii="Times New Roman" w:eastAsia="Times New Roman" w:hAnsi="Times New Roman" w:cs="Times New Roman"/>
          <w:lang w:eastAsia="pt-BR"/>
        </w:rPr>
        <w:t>data-show</w:t>
      </w:r>
      <w:proofErr w:type="spellEnd"/>
      <w:r w:rsidRPr="00306B87">
        <w:rPr>
          <w:rFonts w:ascii="Times New Roman" w:eastAsia="Times New Roman" w:hAnsi="Times New Roman" w:cs="Times New Roman"/>
          <w:lang w:eastAsia="pt-BR"/>
        </w:rPr>
        <w:t xml:space="preserve"> ou vídeo.</w:t>
      </w:r>
    </w:p>
    <w:p w14:paraId="02C90B81" w14:textId="77777777" w:rsidR="00306B87" w:rsidRDefault="00306B87" w:rsidP="00306B87">
      <w:pPr>
        <w:spacing w:after="0" w:line="276" w:lineRule="auto"/>
        <w:jc w:val="both"/>
        <w:rPr>
          <w:rFonts w:ascii="Times New Roman" w:eastAsia="Times New Roman" w:hAnsi="Times New Roman" w:cs="Times New Roman"/>
          <w:b/>
          <w:bCs/>
          <w:lang w:eastAsia="pt-BR"/>
        </w:rPr>
      </w:pPr>
      <w:r w:rsidRPr="00306B87">
        <w:rPr>
          <w:rFonts w:ascii="Times New Roman" w:eastAsia="Times New Roman" w:hAnsi="Times New Roman" w:cs="Times New Roman"/>
          <w:b/>
          <w:bCs/>
          <w:lang w:eastAsia="pt-BR"/>
        </w:rPr>
        <w:t>Procedimentos de Avaliação da Aprendizagem:</w:t>
      </w:r>
    </w:p>
    <w:p w14:paraId="3874989C" w14:textId="66D48A43" w:rsidR="00306B87" w:rsidRPr="00306B87" w:rsidRDefault="00306B87" w:rsidP="00306B87">
      <w:pPr>
        <w:spacing w:after="0" w:line="276" w:lineRule="auto"/>
        <w:jc w:val="both"/>
        <w:rPr>
          <w:rFonts w:ascii="Times New Roman" w:eastAsia="Times New Roman" w:hAnsi="Times New Roman" w:cs="Times New Roman"/>
          <w:lang w:eastAsia="pt-BR"/>
        </w:rPr>
      </w:pPr>
      <w:r w:rsidRPr="00306B87">
        <w:rPr>
          <w:rFonts w:ascii="Times New Roman" w:eastAsia="Times New Roman" w:hAnsi="Times New Roman" w:cs="Times New Roman"/>
          <w:lang w:eastAsia="pt-BR"/>
        </w:rPr>
        <w:t xml:space="preserve">Serão realizadas 3 avaliações: Uma (1) prova escrita, 1 dinâmica crítica de apresentação dos textos obrigatórios em aula, de livre escolha, e um seminário em grupo final. É condição imprescindível para a aprovação do aluno nesta disciplina que este tenha uma </w:t>
      </w:r>
      <w:proofErr w:type="spellStart"/>
      <w:r w:rsidRPr="00306B87">
        <w:rPr>
          <w:rFonts w:ascii="Times New Roman" w:eastAsia="Times New Roman" w:hAnsi="Times New Roman" w:cs="Times New Roman"/>
          <w:lang w:eastAsia="pt-BR"/>
        </w:rPr>
        <w:t>freqüência</w:t>
      </w:r>
      <w:proofErr w:type="spellEnd"/>
      <w:r w:rsidRPr="00306B87">
        <w:rPr>
          <w:rFonts w:ascii="Times New Roman" w:eastAsia="Times New Roman" w:hAnsi="Times New Roman" w:cs="Times New Roman"/>
          <w:lang w:eastAsia="pt-BR"/>
        </w:rPr>
        <w:t xml:space="preserve"> mínima de 75% das aulas, conforme determinação do CONSEPE.</w:t>
      </w:r>
    </w:p>
    <w:p w14:paraId="0578ABBE" w14:textId="75CAFB33" w:rsidR="007C4CBE" w:rsidRDefault="007C4CBE" w:rsidP="00113AF5">
      <w:pPr>
        <w:jc w:val="both"/>
        <w:rPr>
          <w:rFonts w:ascii="Tahoma" w:eastAsia="Times New Roman" w:hAnsi="Tahoma" w:cs="Tahoma"/>
          <w:color w:val="6A727D"/>
          <w:lang w:eastAsia="pt-BR"/>
        </w:rPr>
      </w:pPr>
    </w:p>
    <w:p w14:paraId="0713BB3C" w14:textId="1F0A4FFE" w:rsidR="00306B87" w:rsidRPr="00306B87" w:rsidRDefault="00306B87" w:rsidP="00113AF5">
      <w:pPr>
        <w:jc w:val="both"/>
        <w:rPr>
          <w:rFonts w:ascii="Arial" w:hAnsi="Arial" w:cs="Arial"/>
        </w:rPr>
      </w:pPr>
      <w:r w:rsidRPr="00306B87">
        <w:rPr>
          <w:rFonts w:ascii="Arial" w:eastAsia="Times New Roman" w:hAnsi="Arial" w:cs="Arial"/>
          <w:lang w:eastAsia="pt-BR"/>
        </w:rPr>
        <w:t xml:space="preserve">Título do Projeto de Monitoria: </w:t>
      </w:r>
    </w:p>
    <w:p w14:paraId="0DD0B135" w14:textId="3965447F" w:rsidR="007C4CBE" w:rsidRPr="00113AF5" w:rsidRDefault="00113AF5" w:rsidP="00113AF5">
      <w:pPr>
        <w:jc w:val="both"/>
        <w:rPr>
          <w:b/>
        </w:rPr>
      </w:pPr>
      <w:r w:rsidRPr="00113AF5">
        <w:rPr>
          <w:b/>
        </w:rPr>
        <w:t>Patrimônio cultural e a importância das política</w:t>
      </w:r>
      <w:r>
        <w:rPr>
          <w:b/>
        </w:rPr>
        <w:t>s</w:t>
      </w:r>
      <w:r w:rsidRPr="00113AF5">
        <w:rPr>
          <w:b/>
        </w:rPr>
        <w:t xml:space="preserve"> de memória em tempos de Pandemia</w:t>
      </w:r>
    </w:p>
    <w:p w14:paraId="134471C8" w14:textId="01615398" w:rsidR="00930162" w:rsidRDefault="00DB4634" w:rsidP="00113AF5">
      <w:pPr>
        <w:jc w:val="both"/>
      </w:pPr>
      <w:r>
        <w:t>Resumo</w:t>
      </w:r>
    </w:p>
    <w:p w14:paraId="493026E9" w14:textId="5A8B8356" w:rsidR="00DB4634" w:rsidRDefault="00DB4634" w:rsidP="00113AF5">
      <w:pPr>
        <w:jc w:val="both"/>
        <w:rPr>
          <w:rFonts w:ascii="Arial" w:hAnsi="Arial" w:cs="Arial"/>
          <w:color w:val="000000"/>
          <w:shd w:val="clear" w:color="auto" w:fill="FFFFFF"/>
        </w:rPr>
      </w:pPr>
      <w:r w:rsidRPr="00DB4634">
        <w:rPr>
          <w:rFonts w:ascii="Arial" w:hAnsi="Arial" w:cs="Arial"/>
          <w:color w:val="000000"/>
          <w:shd w:val="clear" w:color="auto" w:fill="FFFFFF"/>
        </w:rPr>
        <w:t>A monitoria, em condições normais de ensino em uma sala de aula física, é um instrumento importante que consiste em um espaço aberto para que os alunos tenham um contato com o estudo do Patrimônio Cultural, propondo atividades e leituras que auxiliem nos trabalhos propostos em sala de aula. No atual contexto em que vivemos de pandemia da COVID-19 desde março de 2020, torna-se também uma ferramenta metodológica que a</w:t>
      </w:r>
      <w:r w:rsidRPr="00DB4634">
        <w:rPr>
          <w:rFonts w:ascii="Arial" w:hAnsi="Arial" w:cs="Arial"/>
          <w:color w:val="202124"/>
          <w:shd w:val="clear" w:color="auto" w:fill="FFFFFF"/>
        </w:rPr>
        <w:t xml:space="preserve">ssessora o professor e o ajuda a gerenciar os dispositivos digitais, uma vez que as aulas são realizadas remotamente, entre aulas síncronas e assíncronas. Este </w:t>
      </w:r>
      <w:r w:rsidRPr="00DB4634">
        <w:rPr>
          <w:rFonts w:ascii="Arial" w:hAnsi="Arial" w:cs="Arial"/>
          <w:color w:val="000000"/>
          <w:shd w:val="clear" w:color="auto" w:fill="FFFFFF"/>
        </w:rPr>
        <w:t>contexto de Pandemia nos coloca frente a inúmeras adaptações no processo de ensino/aprendizagem. O Programa de Monitoria, sendo uma atividade acadêmica de natureza complementar, adquire ainda mais relevância nesse contexto, na medida em que possibilita uma maior interação entre docentes e discentes, auxiliando no desenvolvimento das especificidades impostas pelo ensino remoto, mais especificam</w:t>
      </w:r>
      <w:r>
        <w:rPr>
          <w:rFonts w:ascii="Arial" w:hAnsi="Arial" w:cs="Arial"/>
          <w:color w:val="000000"/>
          <w:shd w:val="clear" w:color="auto" w:fill="FFFFFF"/>
        </w:rPr>
        <w:t>e</w:t>
      </w:r>
      <w:r w:rsidRPr="00DB4634">
        <w:rPr>
          <w:rFonts w:ascii="Arial" w:hAnsi="Arial" w:cs="Arial"/>
          <w:color w:val="000000"/>
          <w:shd w:val="clear" w:color="auto" w:fill="FFFFFF"/>
        </w:rPr>
        <w:t>nte a adequação dos conteúdos às plataformas digitais e uso de ferramentas tecnológicas. A disciplina </w:t>
      </w:r>
      <w:r w:rsidRPr="00DB4634">
        <w:rPr>
          <w:rStyle w:val="Forte"/>
          <w:rFonts w:ascii="Arial" w:hAnsi="Arial" w:cs="Arial"/>
          <w:color w:val="000000"/>
          <w:shd w:val="clear" w:color="auto" w:fill="FFFFFF"/>
        </w:rPr>
        <w:t>Patrimônio Material e Imaterial </w:t>
      </w:r>
      <w:r w:rsidRPr="00DB4634">
        <w:rPr>
          <w:rFonts w:ascii="Arial" w:hAnsi="Arial" w:cs="Arial"/>
          <w:color w:val="000000"/>
          <w:shd w:val="clear" w:color="auto" w:fill="FFFFFF"/>
        </w:rPr>
        <w:t xml:space="preserve">ofertada para o sexto período do curso de Antropologia possui carga teórica densa e complexa, o que ocasiona dificuldades de leitura e interpretação por parte dos alunos, tornando fundamental a presença do monitor para mediar a apreensão dos conteúdos, gerando diminuição na desistência, reprovação, retenção e evasão do curso. A possibilidade de esclarecimento de dúvidas, compartilhamento de </w:t>
      </w:r>
      <w:proofErr w:type="spellStart"/>
      <w:r w:rsidRPr="00DB4634">
        <w:rPr>
          <w:rFonts w:ascii="Arial" w:hAnsi="Arial" w:cs="Arial"/>
          <w:color w:val="000000"/>
          <w:shd w:val="clear" w:color="auto" w:fill="FFFFFF"/>
        </w:rPr>
        <w:t>conte</w:t>
      </w:r>
      <w:r w:rsidR="00113AF5">
        <w:rPr>
          <w:rFonts w:ascii="Arial" w:hAnsi="Arial" w:cs="Arial"/>
          <w:color w:val="000000"/>
          <w:shd w:val="clear" w:color="auto" w:fill="FFFFFF"/>
        </w:rPr>
        <w:t>ú</w:t>
      </w:r>
      <w:r w:rsidRPr="00DB4634">
        <w:rPr>
          <w:rFonts w:ascii="Arial" w:hAnsi="Arial" w:cs="Arial"/>
          <w:color w:val="000000"/>
          <w:shd w:val="clear" w:color="auto" w:fill="FFFFFF"/>
        </w:rPr>
        <w:t>dos</w:t>
      </w:r>
      <w:proofErr w:type="spellEnd"/>
      <w:r w:rsidRPr="00DB4634">
        <w:rPr>
          <w:rFonts w:ascii="Arial" w:hAnsi="Arial" w:cs="Arial"/>
          <w:color w:val="000000"/>
          <w:shd w:val="clear" w:color="auto" w:fill="FFFFFF"/>
        </w:rPr>
        <w:t xml:space="preserve"> online entre os discentes com um discente monitor pode também aproximar os discentes e ajudar na aprendizagem do conteúdo.</w:t>
      </w:r>
    </w:p>
    <w:p w14:paraId="6B0548B0" w14:textId="44C63825" w:rsidR="00DB4634" w:rsidRDefault="00DB4634" w:rsidP="00113AF5">
      <w:pPr>
        <w:jc w:val="both"/>
        <w:rPr>
          <w:rFonts w:ascii="Arial" w:hAnsi="Arial" w:cs="Arial"/>
          <w:color w:val="000000"/>
          <w:shd w:val="clear" w:color="auto" w:fill="FFFFFF"/>
        </w:rPr>
      </w:pPr>
      <w:r>
        <w:rPr>
          <w:rFonts w:ascii="Arial" w:hAnsi="Arial" w:cs="Arial"/>
          <w:color w:val="000000"/>
          <w:shd w:val="clear" w:color="auto" w:fill="FFFFFF"/>
        </w:rPr>
        <w:t>Justificativa</w:t>
      </w:r>
    </w:p>
    <w:p w14:paraId="0364CCCB" w14:textId="79A92EE2" w:rsidR="00DB4634" w:rsidRDefault="00DB4634" w:rsidP="00113AF5">
      <w:pPr>
        <w:jc w:val="both"/>
        <w:rPr>
          <w:rFonts w:ascii="Arial" w:hAnsi="Arial" w:cs="Arial"/>
          <w:color w:val="000000"/>
          <w:shd w:val="clear" w:color="auto" w:fill="FFFFFF"/>
        </w:rPr>
      </w:pPr>
      <w:r w:rsidRPr="00DB4634">
        <w:rPr>
          <w:rFonts w:ascii="Helvetica" w:hAnsi="Helvetica" w:cs="Helvetica"/>
          <w:color w:val="202124"/>
          <w:shd w:val="clear" w:color="auto" w:fill="FFFFFF"/>
        </w:rPr>
        <w:t xml:space="preserve">O componente curricular contém a indicação para a leitura de livros e artigos sobre o tema do Patrimônio Cultural (material e imaterial) que serão disponibilizados aos alunos em </w:t>
      </w:r>
      <w:proofErr w:type="spellStart"/>
      <w:r w:rsidRPr="00DB4634">
        <w:rPr>
          <w:rFonts w:ascii="Helvetica" w:hAnsi="Helvetica" w:cs="Helvetica"/>
          <w:color w:val="202124"/>
          <w:shd w:val="clear" w:color="auto" w:fill="FFFFFF"/>
        </w:rPr>
        <w:t>pdf</w:t>
      </w:r>
      <w:proofErr w:type="spellEnd"/>
      <w:r w:rsidRPr="00DB4634">
        <w:rPr>
          <w:rFonts w:ascii="Helvetica" w:hAnsi="Helvetica" w:cs="Helvetica"/>
          <w:color w:val="202124"/>
          <w:shd w:val="clear" w:color="auto" w:fill="FFFFFF"/>
        </w:rPr>
        <w:t xml:space="preserve">. No entanto, considerando que as aulas de Patrimônio discutem as condições históricas dos museus na atualidade, muitos destes conteúdos obrigatórios estão disponíveis hoje na web, em sites, os quais deverão ser pesquisados pelos alunos. A monitoria será extremamente necessária para reunir a parte disponível na web, que deverá ser digitalizada e reproduzida para ser compartilhada com os alunos. Uma vez que já ofertei o conteúdo desta disciplina várias vezes no modo presencial, no próximo semestre remoto de 2021.1, será necessária uma adaptação deste material ao programa de aulas síncronas e assíncronas. O acesso aos sites dos museus brasileiros e estrangeiros e a possibilidade de explorar estes museus a partir de uma visita virtual, é um desafio a mais para o ensino remoto. Neste sentido, além de estimular o bolsista/voluntário a dominar o mínimo do conteúdo teórico da disciplina ministrada, a monitoria terá extrema relevância no sentido de auxilia-lo a pesquisar, selecionar e </w:t>
      </w:r>
      <w:r w:rsidRPr="00DB4634">
        <w:rPr>
          <w:rFonts w:ascii="Helvetica" w:hAnsi="Helvetica" w:cs="Helvetica"/>
          <w:color w:val="202124"/>
          <w:shd w:val="clear" w:color="auto" w:fill="FFFFFF"/>
        </w:rPr>
        <w:lastRenderedPageBreak/>
        <w:t xml:space="preserve">disponibilizar este material para a disciplina, bem como ajudar a compartilhar este conteúdo com aos alunos matriculados nas aulas síncronas. Assim, entende-se que a </w:t>
      </w:r>
      <w:r w:rsidRPr="00DB4634">
        <w:rPr>
          <w:rFonts w:ascii="Arial" w:hAnsi="Arial" w:cs="Arial"/>
          <w:color w:val="000000"/>
          <w:shd w:val="clear" w:color="auto" w:fill="FFFFFF"/>
        </w:rPr>
        <w:t>monitoria exercerá um papel mediador, tanto entre discentes, como entre o professor e a turma, facilitando o diálogo para o desenvolvimento da disciplina e a desenvoltura dos alunos durante as aulas, os quais ficam expostos à monotonia das telas dos computadores e smartphones. </w:t>
      </w:r>
    </w:p>
    <w:p w14:paraId="1E6F3529" w14:textId="77777777" w:rsidR="001B49F2" w:rsidRDefault="001B49F2" w:rsidP="00113AF5">
      <w:pPr>
        <w:jc w:val="both"/>
        <w:rPr>
          <w:rFonts w:ascii="Arial" w:hAnsi="Arial" w:cs="Arial"/>
          <w:color w:val="000000"/>
          <w:shd w:val="clear" w:color="auto" w:fill="FFFFFF"/>
        </w:rPr>
      </w:pPr>
    </w:p>
    <w:p w14:paraId="3A242BE3" w14:textId="30AAAB02" w:rsidR="00A91D9E" w:rsidRDefault="00A91D9E" w:rsidP="00113AF5">
      <w:pPr>
        <w:jc w:val="both"/>
        <w:rPr>
          <w:rFonts w:ascii="Arial" w:hAnsi="Arial" w:cs="Arial"/>
          <w:color w:val="000000"/>
          <w:shd w:val="clear" w:color="auto" w:fill="FFFFFF"/>
        </w:rPr>
      </w:pPr>
      <w:r>
        <w:rPr>
          <w:rFonts w:ascii="Arial" w:hAnsi="Arial" w:cs="Arial"/>
          <w:color w:val="000000"/>
          <w:shd w:val="clear" w:color="auto" w:fill="FFFFFF"/>
        </w:rPr>
        <w:t>Objetivos</w:t>
      </w:r>
    </w:p>
    <w:p w14:paraId="7303BE7D" w14:textId="77777777" w:rsidR="00A91D9E" w:rsidRPr="00A91D9E" w:rsidRDefault="00A91D9E" w:rsidP="00113AF5">
      <w:pPr>
        <w:numPr>
          <w:ilvl w:val="0"/>
          <w:numId w:val="6"/>
        </w:numPr>
        <w:spacing w:before="100" w:beforeAutospacing="1" w:after="100" w:afterAutospacing="1" w:line="240" w:lineRule="auto"/>
        <w:jc w:val="both"/>
        <w:rPr>
          <w:rFonts w:ascii="Verdana" w:eastAsia="Times New Roman" w:hAnsi="Verdana" w:cs="Times New Roman"/>
          <w:color w:val="000000"/>
          <w:lang w:eastAsia="pt-BR"/>
        </w:rPr>
      </w:pPr>
      <w:r w:rsidRPr="00A91D9E">
        <w:rPr>
          <w:rFonts w:ascii="Arial" w:eastAsia="Times New Roman" w:hAnsi="Arial" w:cs="Arial"/>
          <w:color w:val="000000"/>
          <w:lang w:eastAsia="pt-BR"/>
        </w:rPr>
        <w:t>Possibilitar o acompanhamento e a assessoria do(a) monitor(a) nas atividades desenvolvidas pelos alunos/as da disciplina, no entendimento dos textos e elaboração dos trabalhos escritos, mas também na pesquisa de material da web e na administração da sala de aula remota;</w:t>
      </w:r>
    </w:p>
    <w:p w14:paraId="71AFBC5D" w14:textId="77777777" w:rsidR="00A91D9E" w:rsidRPr="00A91D9E" w:rsidRDefault="00A91D9E" w:rsidP="00113AF5">
      <w:pPr>
        <w:numPr>
          <w:ilvl w:val="0"/>
          <w:numId w:val="7"/>
        </w:numPr>
        <w:spacing w:before="100" w:beforeAutospacing="1" w:after="100" w:afterAutospacing="1" w:line="240" w:lineRule="auto"/>
        <w:jc w:val="both"/>
        <w:rPr>
          <w:rFonts w:ascii="Verdana" w:eastAsia="Times New Roman" w:hAnsi="Verdana" w:cs="Times New Roman"/>
          <w:color w:val="000000"/>
          <w:lang w:eastAsia="pt-BR"/>
        </w:rPr>
      </w:pPr>
      <w:r w:rsidRPr="00A91D9E">
        <w:rPr>
          <w:rFonts w:ascii="Arial" w:eastAsia="Times New Roman" w:hAnsi="Arial" w:cs="Arial"/>
          <w:color w:val="000000"/>
          <w:lang w:eastAsia="pt-BR"/>
        </w:rPr>
        <w:t>Contribuir para o processo formativo do(a) monitor(a), ampliando suas possibilidades profissionais, como a docência, a autonomia intelectual e crítica e a pesquisa;</w:t>
      </w:r>
    </w:p>
    <w:p w14:paraId="7DDA3ED5" w14:textId="77777777" w:rsidR="00A91D9E" w:rsidRPr="00A91D9E" w:rsidRDefault="00A91D9E" w:rsidP="00113AF5">
      <w:pPr>
        <w:numPr>
          <w:ilvl w:val="0"/>
          <w:numId w:val="8"/>
        </w:numPr>
        <w:spacing w:before="100" w:beforeAutospacing="1" w:after="100" w:afterAutospacing="1" w:line="240" w:lineRule="auto"/>
        <w:jc w:val="both"/>
        <w:rPr>
          <w:rFonts w:ascii="Verdana" w:eastAsia="Times New Roman" w:hAnsi="Verdana" w:cs="Times New Roman"/>
          <w:color w:val="000000"/>
          <w:lang w:eastAsia="pt-BR"/>
        </w:rPr>
      </w:pPr>
      <w:r w:rsidRPr="00A91D9E">
        <w:rPr>
          <w:rFonts w:ascii="Arial" w:eastAsia="Times New Roman" w:hAnsi="Arial" w:cs="Arial"/>
          <w:color w:val="000000"/>
          <w:lang w:eastAsia="pt-BR"/>
        </w:rPr>
        <w:t>Melhorar o rendimento acadêmico do(a)s discentes e consequentemente reduzir os índices de reprovação e evasão do curso;</w:t>
      </w:r>
    </w:p>
    <w:p w14:paraId="38A965BE" w14:textId="77777777" w:rsidR="00A91D9E" w:rsidRPr="00A91D9E" w:rsidRDefault="00A91D9E" w:rsidP="00113AF5">
      <w:pPr>
        <w:numPr>
          <w:ilvl w:val="0"/>
          <w:numId w:val="9"/>
        </w:numPr>
        <w:spacing w:before="100" w:beforeAutospacing="1" w:after="100" w:afterAutospacing="1" w:line="240" w:lineRule="auto"/>
        <w:jc w:val="both"/>
        <w:rPr>
          <w:rFonts w:ascii="Verdana" w:eastAsia="Times New Roman" w:hAnsi="Verdana" w:cs="Times New Roman"/>
          <w:color w:val="000000"/>
          <w:lang w:eastAsia="pt-BR"/>
        </w:rPr>
      </w:pPr>
      <w:r w:rsidRPr="00A91D9E">
        <w:rPr>
          <w:rFonts w:ascii="Arial" w:eastAsia="Times New Roman" w:hAnsi="Arial" w:cs="Arial"/>
          <w:color w:val="000000"/>
          <w:lang w:eastAsia="pt-BR"/>
        </w:rPr>
        <w:t>Propiciar um exercício reflexivo, por parte da professora orientadora, de suas práticas docentes na sala de aula virtual, a partir de uma relação dialógica com o(a) monitor(a).</w:t>
      </w:r>
    </w:p>
    <w:p w14:paraId="46AA593D" w14:textId="76AEAC4A" w:rsidR="00A91D9E" w:rsidRDefault="00A91D9E" w:rsidP="00113AF5">
      <w:pPr>
        <w:jc w:val="both"/>
        <w:rPr>
          <w:rFonts w:ascii="Arial" w:hAnsi="Arial" w:cs="Arial"/>
          <w:color w:val="000000"/>
          <w:shd w:val="clear" w:color="auto" w:fill="FFFFFF"/>
        </w:rPr>
      </w:pPr>
      <w:r>
        <w:rPr>
          <w:rFonts w:ascii="Arial" w:hAnsi="Arial" w:cs="Arial"/>
          <w:color w:val="000000"/>
          <w:shd w:val="clear" w:color="auto" w:fill="FFFFFF"/>
        </w:rPr>
        <w:t>Metodologia</w:t>
      </w:r>
    </w:p>
    <w:p w14:paraId="5D306A55" w14:textId="77777777" w:rsidR="00A91D9E" w:rsidRPr="00A91D9E" w:rsidRDefault="00A91D9E" w:rsidP="00113AF5">
      <w:pPr>
        <w:spacing w:before="100" w:beforeAutospacing="1" w:after="100" w:afterAutospacing="1" w:line="240" w:lineRule="auto"/>
        <w:jc w:val="both"/>
        <w:rPr>
          <w:rFonts w:ascii="Verdana" w:eastAsia="Times New Roman" w:hAnsi="Verdana" w:cs="Times New Roman"/>
          <w:color w:val="000000"/>
          <w:lang w:eastAsia="pt-BR"/>
        </w:rPr>
      </w:pPr>
      <w:r w:rsidRPr="00A91D9E">
        <w:rPr>
          <w:rFonts w:ascii="Arial" w:eastAsia="Times New Roman" w:hAnsi="Arial" w:cs="Arial"/>
          <w:color w:val="202124"/>
          <w:lang w:eastAsia="pt-BR"/>
        </w:rPr>
        <w:t xml:space="preserve">Além das tradicionais metodologias de estímulo ao monitor, no sentido da compreensão privilegiada do conteúdo da disciplina, a monitoria no ensino remoto deverá também assessorar o professor nas ferramentas digitais: 1-Abrir a sala de aula digital no </w:t>
      </w:r>
      <w:proofErr w:type="spellStart"/>
      <w:r w:rsidRPr="00A91D9E">
        <w:rPr>
          <w:rFonts w:ascii="Arial" w:eastAsia="Times New Roman" w:hAnsi="Arial" w:cs="Arial"/>
          <w:color w:val="202124"/>
          <w:lang w:eastAsia="pt-BR"/>
        </w:rPr>
        <w:t>google</w:t>
      </w:r>
      <w:proofErr w:type="spellEnd"/>
      <w:r w:rsidRPr="00A91D9E">
        <w:rPr>
          <w:rFonts w:ascii="Arial" w:eastAsia="Times New Roman" w:hAnsi="Arial" w:cs="Arial"/>
          <w:color w:val="202124"/>
          <w:lang w:eastAsia="pt-BR"/>
        </w:rPr>
        <w:t xml:space="preserve"> </w:t>
      </w:r>
      <w:proofErr w:type="spellStart"/>
      <w:r w:rsidRPr="00A91D9E">
        <w:rPr>
          <w:rFonts w:ascii="Arial" w:eastAsia="Times New Roman" w:hAnsi="Arial" w:cs="Arial"/>
          <w:color w:val="202124"/>
          <w:lang w:eastAsia="pt-BR"/>
        </w:rPr>
        <w:t>meet</w:t>
      </w:r>
      <w:proofErr w:type="spellEnd"/>
      <w:r w:rsidRPr="00A91D9E">
        <w:rPr>
          <w:rFonts w:ascii="Arial" w:eastAsia="Times New Roman" w:hAnsi="Arial" w:cs="Arial"/>
          <w:color w:val="202124"/>
          <w:lang w:eastAsia="pt-BR"/>
        </w:rPr>
        <w:t xml:space="preserve"> ou </w:t>
      </w:r>
      <w:proofErr w:type="spellStart"/>
      <w:r w:rsidRPr="00A91D9E">
        <w:rPr>
          <w:rFonts w:ascii="Arial" w:eastAsia="Times New Roman" w:hAnsi="Arial" w:cs="Arial"/>
          <w:color w:val="202124"/>
          <w:lang w:eastAsia="pt-BR"/>
        </w:rPr>
        <w:t>moodle</w:t>
      </w:r>
      <w:proofErr w:type="spellEnd"/>
      <w:r w:rsidRPr="00A91D9E">
        <w:rPr>
          <w:rFonts w:ascii="Arial" w:eastAsia="Times New Roman" w:hAnsi="Arial" w:cs="Arial"/>
          <w:color w:val="202124"/>
          <w:lang w:eastAsia="pt-BR"/>
        </w:rPr>
        <w:t xml:space="preserve"> </w:t>
      </w:r>
      <w:proofErr w:type="spellStart"/>
      <w:r w:rsidRPr="00A91D9E">
        <w:rPr>
          <w:rFonts w:ascii="Arial" w:eastAsia="Times New Roman" w:hAnsi="Arial" w:cs="Arial"/>
          <w:color w:val="202124"/>
          <w:lang w:eastAsia="pt-BR"/>
        </w:rPr>
        <w:t>class</w:t>
      </w:r>
      <w:proofErr w:type="spellEnd"/>
      <w:r w:rsidRPr="00A91D9E">
        <w:rPr>
          <w:rFonts w:ascii="Arial" w:eastAsia="Times New Roman" w:hAnsi="Arial" w:cs="Arial"/>
          <w:color w:val="202124"/>
          <w:lang w:eastAsia="pt-BR"/>
        </w:rPr>
        <w:t xml:space="preserve"> com o link e enviar para a turma, no caso de aulas síncronas. 2-Aceitar e autorizar a entrada dos alunos na sala de aula, quando se tratar de aulas síncronas. 3-Produzir uma lista de chamada digital e ajudar o professor a organizar a planilha de chamada virtual tanto para aulas síncronas, quanto assíncronas. 4-Assessorar o professor, enviando à turma o material digital (textos digitais, links de filmes e fotos) previamente à cada aula, seja síncrona ou assíncrona. 5-Quanto à avaliação, ajudar o professor a receber o material digital produzido pelos alunos, material este que será avaliado. 6- Se for possível avaliação em aula síncrona (a definir), o monitor poderá ajudar o professor a proceder com a pontuação. 6-Ajudar o professor na comunicação digital com os alunos, seja para resolver problemas relativos à presença ou ao envio de material base para o conteúdo das aulas.7- Auxiliar o professor na pesquisa de material bibliográfico e visual (no caso, a disciplina contém em seu conteúdo curricular, filmes e vídeos) disponível na web para enviar aos alunos ao longo da disciplina.</w:t>
      </w:r>
    </w:p>
    <w:p w14:paraId="256C21A3" w14:textId="77777777" w:rsidR="00A91D9E" w:rsidRPr="00A91D9E" w:rsidRDefault="00A91D9E" w:rsidP="00113AF5">
      <w:pPr>
        <w:spacing w:before="100" w:beforeAutospacing="1" w:after="100" w:afterAutospacing="1" w:line="240" w:lineRule="auto"/>
        <w:jc w:val="both"/>
        <w:rPr>
          <w:rFonts w:ascii="Verdana" w:eastAsia="Times New Roman" w:hAnsi="Verdana" w:cs="Times New Roman"/>
          <w:color w:val="000000"/>
          <w:lang w:eastAsia="pt-BR"/>
        </w:rPr>
      </w:pPr>
      <w:r w:rsidRPr="00A91D9E">
        <w:rPr>
          <w:rFonts w:ascii="Arial" w:eastAsia="Times New Roman" w:hAnsi="Arial" w:cs="Arial"/>
          <w:color w:val="000000"/>
          <w:lang w:eastAsia="pt-BR"/>
        </w:rPr>
        <w:t>Para atender os/as discentes nesse cenário de ensino remoto serão utilizadas as plataformas virtuais (</w:t>
      </w:r>
      <w:proofErr w:type="spellStart"/>
      <w:r w:rsidRPr="00A91D9E">
        <w:rPr>
          <w:rFonts w:ascii="Arial" w:eastAsia="Times New Roman" w:hAnsi="Arial" w:cs="Arial"/>
          <w:color w:val="000000"/>
          <w:lang w:eastAsia="pt-BR"/>
        </w:rPr>
        <w:t>google</w:t>
      </w:r>
      <w:proofErr w:type="spellEnd"/>
      <w:r w:rsidRPr="00A91D9E">
        <w:rPr>
          <w:rFonts w:ascii="Arial" w:eastAsia="Times New Roman" w:hAnsi="Arial" w:cs="Arial"/>
          <w:color w:val="000000"/>
          <w:lang w:eastAsia="pt-BR"/>
        </w:rPr>
        <w:t xml:space="preserve"> </w:t>
      </w:r>
      <w:proofErr w:type="spellStart"/>
      <w:r w:rsidRPr="00A91D9E">
        <w:rPr>
          <w:rFonts w:ascii="Arial" w:eastAsia="Times New Roman" w:hAnsi="Arial" w:cs="Arial"/>
          <w:color w:val="000000"/>
          <w:lang w:eastAsia="pt-BR"/>
        </w:rPr>
        <w:t>meet</w:t>
      </w:r>
      <w:proofErr w:type="spellEnd"/>
      <w:r w:rsidRPr="00A91D9E">
        <w:rPr>
          <w:rFonts w:ascii="Arial" w:eastAsia="Times New Roman" w:hAnsi="Arial" w:cs="Arial"/>
          <w:color w:val="000000"/>
          <w:lang w:eastAsia="pt-BR"/>
        </w:rPr>
        <w:t xml:space="preserve">, </w:t>
      </w:r>
      <w:proofErr w:type="spellStart"/>
      <w:r w:rsidRPr="00A91D9E">
        <w:rPr>
          <w:rFonts w:ascii="Arial" w:eastAsia="Times New Roman" w:hAnsi="Arial" w:cs="Arial"/>
          <w:color w:val="000000"/>
          <w:lang w:eastAsia="pt-BR"/>
        </w:rPr>
        <w:t>whatsapp</w:t>
      </w:r>
      <w:proofErr w:type="spellEnd"/>
      <w:r w:rsidRPr="00A91D9E">
        <w:rPr>
          <w:rFonts w:ascii="Arial" w:eastAsia="Times New Roman" w:hAnsi="Arial" w:cs="Arial"/>
          <w:color w:val="000000"/>
          <w:lang w:eastAsia="pt-BR"/>
        </w:rPr>
        <w:t xml:space="preserve"> e e-mails) disponíveis para interação, com horários fixos (três vezes por semana), e também será criado um grupo de </w:t>
      </w:r>
      <w:proofErr w:type="spellStart"/>
      <w:r w:rsidRPr="00A91D9E">
        <w:rPr>
          <w:rFonts w:ascii="Arial" w:eastAsia="Times New Roman" w:hAnsi="Arial" w:cs="Arial"/>
          <w:color w:val="000000"/>
          <w:lang w:eastAsia="pt-BR"/>
        </w:rPr>
        <w:t>whatsapp</w:t>
      </w:r>
      <w:proofErr w:type="spellEnd"/>
      <w:r w:rsidRPr="00A91D9E">
        <w:rPr>
          <w:rFonts w:ascii="Arial" w:eastAsia="Times New Roman" w:hAnsi="Arial" w:cs="Arial"/>
          <w:color w:val="000000"/>
          <w:lang w:eastAsia="pt-BR"/>
        </w:rPr>
        <w:t xml:space="preserve"> para discussões e compartilhamentos de questões pertinentes à disciplina. </w:t>
      </w:r>
    </w:p>
    <w:p w14:paraId="26148F1E" w14:textId="40CFEEF5" w:rsidR="00A91D9E" w:rsidRDefault="00A91D9E" w:rsidP="00113AF5">
      <w:pPr>
        <w:jc w:val="both"/>
        <w:rPr>
          <w:rFonts w:ascii="Arial" w:hAnsi="Arial" w:cs="Arial"/>
          <w:color w:val="000000"/>
          <w:shd w:val="clear" w:color="auto" w:fill="FFFFFF"/>
        </w:rPr>
      </w:pPr>
      <w:r>
        <w:rPr>
          <w:rFonts w:ascii="Arial" w:hAnsi="Arial" w:cs="Arial"/>
          <w:color w:val="000000"/>
          <w:shd w:val="clear" w:color="auto" w:fill="FFFFFF"/>
        </w:rPr>
        <w:t>Resultados Esperados</w:t>
      </w:r>
    </w:p>
    <w:p w14:paraId="199E463A" w14:textId="77777777" w:rsidR="00A91D9E" w:rsidRPr="00A91D9E" w:rsidRDefault="00A91D9E" w:rsidP="00113AF5">
      <w:pPr>
        <w:spacing w:before="100" w:beforeAutospacing="1" w:after="100" w:afterAutospacing="1" w:line="240" w:lineRule="auto"/>
        <w:jc w:val="both"/>
        <w:rPr>
          <w:rFonts w:ascii="Verdana" w:eastAsia="Times New Roman" w:hAnsi="Verdana" w:cs="Times New Roman"/>
          <w:color w:val="000000"/>
          <w:lang w:eastAsia="pt-BR"/>
        </w:rPr>
      </w:pPr>
      <w:r w:rsidRPr="00A91D9E">
        <w:rPr>
          <w:rFonts w:ascii="Arial" w:eastAsia="Times New Roman" w:hAnsi="Arial" w:cs="Arial"/>
          <w:color w:val="000000"/>
          <w:lang w:eastAsia="pt-BR"/>
        </w:rPr>
        <w:lastRenderedPageBreak/>
        <w:t>Pretende-se desenvolver, estimular e aprimorar o pensamento crítico dos/as alunos/as abordando os conteúdos através de interações mais horizontalizadas, melhorar o rendimento acadêmico; selecionando conteúdos e materiais mais acessíveis e atualizados. Além disso, no contexto do ensino remoto pretende-se ministrar a</w:t>
      </w:r>
      <w:r w:rsidRPr="00A91D9E">
        <w:rPr>
          <w:rFonts w:ascii="Arial" w:eastAsia="Times New Roman" w:hAnsi="Arial" w:cs="Arial"/>
          <w:color w:val="202124"/>
          <w:lang w:eastAsia="pt-BR"/>
        </w:rPr>
        <w:t xml:space="preserve">ulas síncronas e assíncronas, alternadas, incluindo o conteúdo curricular da disciplina, dividido em 3 unidades e disponível para consulta no </w:t>
      </w:r>
      <w:proofErr w:type="spellStart"/>
      <w:r w:rsidRPr="00A91D9E">
        <w:rPr>
          <w:rFonts w:ascii="Arial" w:eastAsia="Times New Roman" w:hAnsi="Arial" w:cs="Arial"/>
          <w:color w:val="202124"/>
          <w:lang w:eastAsia="pt-BR"/>
        </w:rPr>
        <w:t>sigaa</w:t>
      </w:r>
      <w:proofErr w:type="spellEnd"/>
      <w:r w:rsidRPr="00A91D9E">
        <w:rPr>
          <w:rFonts w:ascii="Arial" w:eastAsia="Times New Roman" w:hAnsi="Arial" w:cs="Arial"/>
          <w:color w:val="202124"/>
          <w:lang w:eastAsia="pt-BR"/>
        </w:rPr>
        <w:t>:</w:t>
      </w:r>
    </w:p>
    <w:p w14:paraId="67F8E5A7" w14:textId="77777777" w:rsidR="00A91D9E" w:rsidRPr="00A91D9E" w:rsidRDefault="00A91D9E" w:rsidP="00113AF5">
      <w:pPr>
        <w:spacing w:before="100" w:beforeAutospacing="1" w:after="100" w:afterAutospacing="1" w:line="240" w:lineRule="auto"/>
        <w:jc w:val="both"/>
        <w:rPr>
          <w:rFonts w:ascii="Verdana" w:eastAsia="Times New Roman" w:hAnsi="Verdana" w:cs="Times New Roman"/>
          <w:color w:val="000000"/>
          <w:lang w:eastAsia="pt-BR"/>
        </w:rPr>
      </w:pPr>
      <w:r w:rsidRPr="00A91D9E">
        <w:rPr>
          <w:rFonts w:ascii="Arial" w:eastAsia="Times New Roman" w:hAnsi="Arial" w:cs="Arial"/>
          <w:color w:val="202124"/>
          <w:lang w:eastAsia="pt-BR"/>
        </w:rPr>
        <w:t xml:space="preserve">-As aulas síncronas serão direcionadas para a exposição do conteúdo teórico do curso (textos e material visual) e debate com os alunos sobre o conteúdo apresentado. -As aulas assíncronas serão reservadas para que os alunos assistam material audiovisual, pesquisem links na internet indicados no conteúdo obrigatório da disciplina e façam visitas </w:t>
      </w:r>
      <w:proofErr w:type="spellStart"/>
      <w:r w:rsidRPr="00A91D9E">
        <w:rPr>
          <w:rFonts w:ascii="Arial" w:eastAsia="Times New Roman" w:hAnsi="Arial" w:cs="Arial"/>
          <w:color w:val="202124"/>
          <w:lang w:eastAsia="pt-BR"/>
        </w:rPr>
        <w:t>virtuias</w:t>
      </w:r>
      <w:proofErr w:type="spellEnd"/>
      <w:r w:rsidRPr="00A91D9E">
        <w:rPr>
          <w:rFonts w:ascii="Arial" w:eastAsia="Times New Roman" w:hAnsi="Arial" w:cs="Arial"/>
          <w:color w:val="202124"/>
          <w:lang w:eastAsia="pt-BR"/>
        </w:rPr>
        <w:t xml:space="preserve"> à museus e bibliotecas, bem como realizem a leitura de textos e façam resenhas e exercícios escritos que farão parte da avaliação da disciplina. -O componente curricular contém a leitura de textos que serão disponibilizados aos alunos em </w:t>
      </w:r>
      <w:proofErr w:type="spellStart"/>
      <w:r w:rsidRPr="00A91D9E">
        <w:rPr>
          <w:rFonts w:ascii="Arial" w:eastAsia="Times New Roman" w:hAnsi="Arial" w:cs="Arial"/>
          <w:color w:val="202124"/>
          <w:lang w:eastAsia="pt-BR"/>
        </w:rPr>
        <w:t>pdf</w:t>
      </w:r>
      <w:proofErr w:type="spellEnd"/>
      <w:r w:rsidRPr="00A91D9E">
        <w:rPr>
          <w:rFonts w:ascii="Arial" w:eastAsia="Times New Roman" w:hAnsi="Arial" w:cs="Arial"/>
          <w:color w:val="202124"/>
          <w:lang w:eastAsia="pt-BR"/>
        </w:rPr>
        <w:t xml:space="preserve"> e a exibição de filmes e fotografias da antropologia visual. Alguns destes conteúdos obrigatórios estão disponíveis na web, em sites, mas outra parte deverá ser digitalizada e reproduzida para ser compartilhada com os alunos. </w:t>
      </w:r>
    </w:p>
    <w:p w14:paraId="528F158D" w14:textId="77777777" w:rsidR="00A91D9E" w:rsidRPr="00A91D9E" w:rsidRDefault="00A91D9E" w:rsidP="00113AF5">
      <w:pPr>
        <w:spacing w:before="100" w:beforeAutospacing="1" w:after="100" w:afterAutospacing="1" w:line="240" w:lineRule="auto"/>
        <w:jc w:val="both"/>
        <w:rPr>
          <w:rFonts w:ascii="Arial" w:eastAsia="Times New Roman" w:hAnsi="Arial" w:cs="Arial"/>
          <w:color w:val="000000"/>
          <w:lang w:eastAsia="pt-BR"/>
        </w:rPr>
      </w:pPr>
      <w:r w:rsidRPr="00A91D9E">
        <w:rPr>
          <w:rFonts w:ascii="Arial" w:eastAsia="Times New Roman" w:hAnsi="Arial" w:cs="Arial"/>
          <w:color w:val="202124"/>
          <w:lang w:eastAsia="pt-BR"/>
        </w:rPr>
        <w:t xml:space="preserve">Será necessária uma adaptação deste material ao programa de aulas síncronas e assíncronas. O trabalho com material visual é um desafio a mais para o ensino remoto e a monitoria será de extrema necessidade e relevância no sentido de auxiliar a selecionar e digitalizar este material para a disciplina, bem como exibi-los aos alunos nas aulas síncronas por meio da aula online. Outras atividades: 1- realização de chamadas síncronas na sala de aula virtual e assíncronas. As chamadas assíncronas serão computadas a partir da realização pelo aluno de um exercício ou produto digital ou (no caso de falta de acesso por parte deste) digitalizado que será entregue ao professor via </w:t>
      </w:r>
      <w:proofErr w:type="spellStart"/>
      <w:r w:rsidRPr="00A91D9E">
        <w:rPr>
          <w:rFonts w:ascii="Arial" w:eastAsia="Times New Roman" w:hAnsi="Arial" w:cs="Arial"/>
          <w:color w:val="202124"/>
          <w:lang w:eastAsia="pt-BR"/>
        </w:rPr>
        <w:t>email</w:t>
      </w:r>
      <w:proofErr w:type="spellEnd"/>
      <w:r w:rsidRPr="00A91D9E">
        <w:rPr>
          <w:rFonts w:ascii="Arial" w:eastAsia="Times New Roman" w:hAnsi="Arial" w:cs="Arial"/>
          <w:color w:val="202124"/>
          <w:lang w:eastAsia="pt-BR"/>
        </w:rPr>
        <w:t xml:space="preserve">. 2- Avaliação dos alunos, seja por meio de correção de textos/provas enviados via </w:t>
      </w:r>
      <w:proofErr w:type="spellStart"/>
      <w:r w:rsidRPr="00A91D9E">
        <w:rPr>
          <w:rFonts w:ascii="Arial" w:eastAsia="Times New Roman" w:hAnsi="Arial" w:cs="Arial"/>
          <w:color w:val="202124"/>
          <w:lang w:eastAsia="pt-BR"/>
        </w:rPr>
        <w:t>sigaa</w:t>
      </w:r>
      <w:proofErr w:type="spellEnd"/>
      <w:r w:rsidRPr="00A91D9E">
        <w:rPr>
          <w:rFonts w:ascii="Arial" w:eastAsia="Times New Roman" w:hAnsi="Arial" w:cs="Arial"/>
          <w:color w:val="202124"/>
          <w:lang w:eastAsia="pt-BR"/>
        </w:rPr>
        <w:t>, ou por meio de avaliação oral síncrona a partir a apresentação de pesquisa formal e previamente orientada pelo professor de material visual disponível na web. O conteúdo progra</w:t>
      </w:r>
      <w:r w:rsidRPr="00A91D9E">
        <w:rPr>
          <w:rFonts w:ascii="Helvetica" w:eastAsia="Times New Roman" w:hAnsi="Helvetica" w:cs="Helvetica"/>
          <w:color w:val="202124"/>
          <w:lang w:eastAsia="pt-BR"/>
        </w:rPr>
        <w:t xml:space="preserve">mático da disciplina, bem como a bibliografia a ser utilizada no semestre remoto podem ser encontrados disponibilizados </w:t>
      </w:r>
      <w:r w:rsidRPr="00A91D9E">
        <w:rPr>
          <w:rFonts w:ascii="Arial" w:eastAsia="Times New Roman" w:hAnsi="Arial" w:cs="Arial"/>
          <w:color w:val="202124"/>
          <w:lang w:eastAsia="pt-BR"/>
        </w:rPr>
        <w:t xml:space="preserve">no </w:t>
      </w:r>
      <w:proofErr w:type="spellStart"/>
      <w:r w:rsidRPr="00A91D9E">
        <w:rPr>
          <w:rFonts w:ascii="Arial" w:eastAsia="Times New Roman" w:hAnsi="Arial" w:cs="Arial"/>
          <w:color w:val="202124"/>
          <w:lang w:eastAsia="pt-BR"/>
        </w:rPr>
        <w:t>sigaa</w:t>
      </w:r>
      <w:proofErr w:type="spellEnd"/>
      <w:r w:rsidRPr="00A91D9E">
        <w:rPr>
          <w:rFonts w:ascii="Arial" w:eastAsia="Times New Roman" w:hAnsi="Arial" w:cs="Arial"/>
          <w:color w:val="202124"/>
          <w:lang w:eastAsia="pt-BR"/>
        </w:rPr>
        <w:t xml:space="preserve"> neste semestre:</w:t>
      </w:r>
    </w:p>
    <w:p w14:paraId="03FA02B9" w14:textId="77777777" w:rsidR="00A91D9E" w:rsidRPr="00A91D9E" w:rsidRDefault="00A91D9E" w:rsidP="00113AF5">
      <w:pPr>
        <w:spacing w:after="0" w:line="252" w:lineRule="atLeast"/>
        <w:jc w:val="both"/>
        <w:rPr>
          <w:rFonts w:ascii="Arial" w:eastAsia="Times New Roman" w:hAnsi="Arial" w:cs="Arial"/>
          <w:color w:val="000000"/>
          <w:lang w:eastAsia="pt-BR"/>
        </w:rPr>
      </w:pPr>
      <w:r w:rsidRPr="00A91D9E">
        <w:rPr>
          <w:rFonts w:ascii="Arial" w:eastAsia="Times New Roman" w:hAnsi="Arial" w:cs="Arial"/>
          <w:color w:val="000000"/>
          <w:lang w:eastAsia="pt-BR"/>
        </w:rPr>
        <w:t>Produtos</w:t>
      </w:r>
    </w:p>
    <w:p w14:paraId="35AF1A3E" w14:textId="3AA26B45" w:rsidR="00A91D9E" w:rsidRDefault="00A91D9E" w:rsidP="00113AF5">
      <w:pPr>
        <w:spacing w:after="0" w:line="252" w:lineRule="atLeast"/>
        <w:jc w:val="both"/>
        <w:rPr>
          <w:rFonts w:ascii="Times New Roman" w:eastAsia="Times New Roman" w:hAnsi="Times New Roman" w:cs="Times New Roman"/>
          <w:color w:val="000000"/>
          <w:lang w:eastAsia="pt-BR"/>
        </w:rPr>
      </w:pPr>
      <w:r w:rsidRPr="00A91D9E">
        <w:rPr>
          <w:rFonts w:ascii="Times New Roman" w:eastAsia="Times New Roman" w:hAnsi="Times New Roman" w:cs="Times New Roman"/>
          <w:color w:val="000000"/>
          <w:lang w:eastAsia="pt-BR"/>
        </w:rPr>
        <w:t>  </w:t>
      </w:r>
    </w:p>
    <w:p w14:paraId="675AE865" w14:textId="50903B06" w:rsidR="00A91D9E" w:rsidRPr="00A91D9E" w:rsidRDefault="00A91D9E" w:rsidP="00113AF5">
      <w:pPr>
        <w:spacing w:after="0" w:line="252" w:lineRule="atLeast"/>
        <w:jc w:val="both"/>
        <w:rPr>
          <w:rFonts w:ascii="Verdana" w:eastAsia="Times New Roman" w:hAnsi="Verdana" w:cs="Times New Roman"/>
          <w:color w:val="000000"/>
          <w:lang w:eastAsia="pt-BR"/>
        </w:rPr>
      </w:pPr>
      <w:r>
        <w:rPr>
          <w:rFonts w:ascii="Arial" w:eastAsia="Times New Roman" w:hAnsi="Arial" w:cs="Arial"/>
          <w:color w:val="000000"/>
          <w:lang w:eastAsia="pt-BR"/>
        </w:rPr>
        <w:t xml:space="preserve">1. </w:t>
      </w:r>
      <w:r w:rsidRPr="00A91D9E">
        <w:rPr>
          <w:rFonts w:ascii="Arial" w:eastAsia="Times New Roman" w:hAnsi="Arial" w:cs="Arial"/>
          <w:color w:val="000000"/>
          <w:lang w:eastAsia="pt-BR"/>
        </w:rPr>
        <w:t xml:space="preserve">Elaboração de resumos e fichamentos dos textos a serem discutidos nos encontros síncronos, a fim de aprofundar </w:t>
      </w:r>
      <w:r>
        <w:rPr>
          <w:rFonts w:ascii="Arial" w:eastAsia="Times New Roman" w:hAnsi="Arial" w:cs="Arial"/>
          <w:color w:val="000000"/>
          <w:lang w:eastAsia="pt-BR"/>
        </w:rPr>
        <w:t xml:space="preserve">o </w:t>
      </w:r>
      <w:r w:rsidRPr="00A91D9E">
        <w:rPr>
          <w:rFonts w:ascii="Arial" w:eastAsia="Times New Roman" w:hAnsi="Arial" w:cs="Arial"/>
          <w:color w:val="000000"/>
          <w:lang w:eastAsia="pt-BR"/>
        </w:rPr>
        <w:t>conhecimento teórico</w:t>
      </w:r>
      <w:r>
        <w:rPr>
          <w:rFonts w:ascii="Arial" w:eastAsia="Times New Roman" w:hAnsi="Arial" w:cs="Arial"/>
          <w:color w:val="000000"/>
          <w:lang w:eastAsia="pt-BR"/>
        </w:rPr>
        <w:t xml:space="preserve"> do bolsista</w:t>
      </w:r>
      <w:r w:rsidRPr="00A91D9E">
        <w:rPr>
          <w:rFonts w:ascii="Arial" w:eastAsia="Times New Roman" w:hAnsi="Arial" w:cs="Arial"/>
          <w:color w:val="000000"/>
          <w:lang w:eastAsia="pt-BR"/>
        </w:rPr>
        <w:t xml:space="preserve"> sobre o conteúdo programático, estabelecer diálogos, debates e dirimir dúvidas dos/as alunos/as durante os atendimentos; </w:t>
      </w:r>
    </w:p>
    <w:p w14:paraId="2592486E" w14:textId="3BB9EC14" w:rsidR="00A91D9E" w:rsidRPr="00A91D9E" w:rsidRDefault="00A91D9E" w:rsidP="00113AF5">
      <w:pPr>
        <w:spacing w:after="0" w:line="252" w:lineRule="atLeast"/>
        <w:jc w:val="both"/>
        <w:rPr>
          <w:rFonts w:ascii="Verdana" w:eastAsia="Times New Roman" w:hAnsi="Verdana" w:cs="Times New Roman"/>
          <w:color w:val="000000"/>
          <w:lang w:eastAsia="pt-BR"/>
        </w:rPr>
      </w:pPr>
      <w:r w:rsidRPr="00A91D9E">
        <w:rPr>
          <w:rFonts w:ascii="Arial" w:eastAsia="Times New Roman" w:hAnsi="Arial" w:cs="Arial"/>
          <w:color w:val="000000"/>
          <w:lang w:eastAsia="pt-BR"/>
        </w:rPr>
        <w:t>2.</w:t>
      </w:r>
      <w:r w:rsidRPr="00A91D9E">
        <w:rPr>
          <w:rFonts w:ascii="Times New Roman" w:eastAsia="Times New Roman" w:hAnsi="Times New Roman" w:cs="Times New Roman"/>
          <w:color w:val="000000"/>
          <w:lang w:eastAsia="pt-BR"/>
        </w:rPr>
        <w:t> </w:t>
      </w:r>
      <w:r w:rsidRPr="00A91D9E">
        <w:rPr>
          <w:rFonts w:ascii="Arial" w:eastAsia="Times New Roman" w:hAnsi="Arial" w:cs="Arial"/>
          <w:color w:val="000000"/>
          <w:lang w:eastAsia="pt-BR"/>
        </w:rPr>
        <w:t>Elaboração de material técnico-científico, didático-pedagógico e novas metodologias que possa</w:t>
      </w:r>
      <w:r>
        <w:rPr>
          <w:rFonts w:ascii="Arial" w:eastAsia="Times New Roman" w:hAnsi="Arial" w:cs="Arial"/>
          <w:color w:val="000000"/>
          <w:lang w:eastAsia="pt-BR"/>
        </w:rPr>
        <w:t>m</w:t>
      </w:r>
      <w:r w:rsidRPr="00A91D9E">
        <w:rPr>
          <w:rFonts w:ascii="Arial" w:eastAsia="Times New Roman" w:hAnsi="Arial" w:cs="Arial"/>
          <w:color w:val="000000"/>
          <w:lang w:eastAsia="pt-BR"/>
        </w:rPr>
        <w:t xml:space="preserve"> facilitar o processo de ensino-aprendizagem da disciplina em formato remoto</w:t>
      </w:r>
      <w:r w:rsidR="007C4CBE">
        <w:rPr>
          <w:rFonts w:ascii="Arial" w:eastAsia="Times New Roman" w:hAnsi="Arial" w:cs="Arial"/>
          <w:color w:val="000000"/>
          <w:lang w:eastAsia="pt-BR"/>
        </w:rPr>
        <w:t>;</w:t>
      </w:r>
    </w:p>
    <w:p w14:paraId="472075BF" w14:textId="4C811B8B" w:rsidR="007C4CBE" w:rsidRPr="007C4CBE" w:rsidRDefault="007C4CBE" w:rsidP="00113AF5">
      <w:pPr>
        <w:spacing w:after="0" w:line="252" w:lineRule="atLeast"/>
        <w:jc w:val="both"/>
        <w:rPr>
          <w:rFonts w:ascii="Arial" w:eastAsia="Times New Roman" w:hAnsi="Arial" w:cs="Arial"/>
          <w:color w:val="000000"/>
          <w:lang w:eastAsia="pt-BR"/>
        </w:rPr>
      </w:pPr>
      <w:r>
        <w:rPr>
          <w:rFonts w:ascii="Arial" w:eastAsia="Times New Roman" w:hAnsi="Arial" w:cs="Arial"/>
          <w:color w:val="000000"/>
          <w:lang w:eastAsia="pt-BR"/>
        </w:rPr>
        <w:t>3</w:t>
      </w:r>
      <w:r w:rsidRPr="007C4CBE">
        <w:rPr>
          <w:rFonts w:ascii="Arial" w:eastAsia="Times New Roman" w:hAnsi="Arial" w:cs="Arial"/>
          <w:color w:val="000000"/>
          <w:lang w:eastAsia="pt-BR"/>
        </w:rPr>
        <w:t xml:space="preserve">- </w:t>
      </w:r>
      <w:r w:rsidRPr="007C4CBE">
        <w:rPr>
          <w:rFonts w:ascii="Arial" w:eastAsia="Times New Roman" w:hAnsi="Arial" w:cs="Arial"/>
          <w:color w:val="000000"/>
          <w:lang w:eastAsia="pt-BR"/>
        </w:rPr>
        <w:t>Elaboração de dois relatórios bimestrais;</w:t>
      </w:r>
    </w:p>
    <w:p w14:paraId="64B1C7BA" w14:textId="7F208AC5" w:rsidR="007C4CBE" w:rsidRPr="007C4CBE" w:rsidRDefault="007C4CBE" w:rsidP="00113AF5">
      <w:pPr>
        <w:spacing w:after="0" w:line="252" w:lineRule="atLeast"/>
        <w:jc w:val="both"/>
        <w:rPr>
          <w:rFonts w:ascii="Arial" w:eastAsia="Times New Roman" w:hAnsi="Arial" w:cs="Arial"/>
          <w:color w:val="000000"/>
          <w:lang w:eastAsia="pt-BR"/>
        </w:rPr>
      </w:pPr>
      <w:r>
        <w:rPr>
          <w:rFonts w:ascii="Arial" w:eastAsia="Times New Roman" w:hAnsi="Arial" w:cs="Arial"/>
          <w:color w:val="000000"/>
          <w:lang w:eastAsia="pt-BR"/>
        </w:rPr>
        <w:t xml:space="preserve">4- </w:t>
      </w:r>
      <w:r w:rsidRPr="007C4CBE">
        <w:rPr>
          <w:rFonts w:ascii="Arial" w:eastAsia="Times New Roman" w:hAnsi="Arial" w:cs="Arial"/>
          <w:color w:val="000000"/>
          <w:lang w:eastAsia="pt-BR"/>
        </w:rPr>
        <w:t>Elaboração de relatório final (relato de experiência).</w:t>
      </w:r>
    </w:p>
    <w:p w14:paraId="355A09D9" w14:textId="1FAA9E2B" w:rsidR="00A91D9E" w:rsidRPr="007C4CBE" w:rsidRDefault="00A91D9E" w:rsidP="00113AF5">
      <w:pPr>
        <w:jc w:val="both"/>
        <w:rPr>
          <w:rFonts w:ascii="Arial" w:hAnsi="Arial" w:cs="Arial"/>
          <w:color w:val="000000"/>
          <w:shd w:val="clear" w:color="auto" w:fill="FFFFFF"/>
        </w:rPr>
      </w:pPr>
    </w:p>
    <w:p w14:paraId="6F829762" w14:textId="228A1682" w:rsidR="00A91D9E" w:rsidRDefault="00A91D9E" w:rsidP="00113AF5">
      <w:pPr>
        <w:jc w:val="both"/>
        <w:rPr>
          <w:rFonts w:ascii="Arial" w:hAnsi="Arial" w:cs="Arial"/>
          <w:color w:val="000000"/>
          <w:shd w:val="clear" w:color="auto" w:fill="FFFFFF"/>
        </w:rPr>
      </w:pPr>
      <w:r>
        <w:rPr>
          <w:rFonts w:ascii="Arial" w:hAnsi="Arial" w:cs="Arial"/>
          <w:color w:val="000000"/>
          <w:shd w:val="clear" w:color="auto" w:fill="FFFFFF"/>
        </w:rPr>
        <w:t>Avaliação</w:t>
      </w:r>
    </w:p>
    <w:p w14:paraId="325EE888" w14:textId="287CA673" w:rsidR="00A91D9E" w:rsidRPr="00A91D9E" w:rsidRDefault="00A91D9E" w:rsidP="00113AF5">
      <w:pPr>
        <w:spacing w:after="0" w:line="360" w:lineRule="atLeast"/>
        <w:ind w:firstLine="708"/>
        <w:jc w:val="both"/>
        <w:rPr>
          <w:rFonts w:ascii="Times New Roman" w:eastAsia="Times New Roman" w:hAnsi="Times New Roman" w:cs="Times New Roman"/>
          <w:color w:val="000000"/>
          <w:lang w:eastAsia="pt-BR"/>
        </w:rPr>
      </w:pPr>
      <w:r w:rsidRPr="00A91D9E">
        <w:rPr>
          <w:rFonts w:ascii="Arial" w:eastAsia="Times New Roman" w:hAnsi="Arial" w:cs="Arial"/>
          <w:color w:val="000000"/>
          <w:lang w:eastAsia="pt-BR"/>
        </w:rPr>
        <w:t>Serão realizadas reuniões quinzenais entre a orientadora e os/as monitores, com o objetivo de avaliar a assiduidade, a proatividade, o cumprimento de tarefas e prazos estabelecidos, a análise sobre a efetivação dos objetivos do projeto de monitoria e para a elaboração de relatórios das atividades desenvolvidas.</w:t>
      </w:r>
    </w:p>
    <w:p w14:paraId="7E0B7A66" w14:textId="510A650A" w:rsidR="00A91D9E" w:rsidRDefault="00A91D9E" w:rsidP="00113AF5">
      <w:pPr>
        <w:spacing w:after="0" w:line="360" w:lineRule="atLeast"/>
        <w:ind w:firstLine="708"/>
        <w:jc w:val="both"/>
        <w:rPr>
          <w:rFonts w:ascii="Arial" w:eastAsia="Times New Roman" w:hAnsi="Arial" w:cs="Arial"/>
          <w:color w:val="000000"/>
          <w:lang w:eastAsia="pt-BR"/>
        </w:rPr>
      </w:pPr>
      <w:r w:rsidRPr="00A91D9E">
        <w:rPr>
          <w:rFonts w:ascii="Arial" w:eastAsia="Times New Roman" w:hAnsi="Arial" w:cs="Arial"/>
          <w:color w:val="000000"/>
          <w:lang w:eastAsia="pt-BR"/>
        </w:rPr>
        <w:t xml:space="preserve">Ao longo do semestre, serão realizadas atividades escritas e interativas, para verificar o nível de entendimento dos/as discentes sobre os conteúdos trabalhados, bem </w:t>
      </w:r>
      <w:r w:rsidRPr="00A91D9E">
        <w:rPr>
          <w:rFonts w:ascii="Arial" w:eastAsia="Times New Roman" w:hAnsi="Arial" w:cs="Arial"/>
          <w:color w:val="000000"/>
          <w:lang w:eastAsia="pt-BR"/>
        </w:rPr>
        <w:lastRenderedPageBreak/>
        <w:t>como para avaliar se a metodologia docente e da monitoria estão alcançando o objetivo proposto. </w:t>
      </w:r>
    </w:p>
    <w:p w14:paraId="4B18918A" w14:textId="5F957CBD" w:rsidR="00A91D9E" w:rsidRDefault="00A91D9E" w:rsidP="00113AF5">
      <w:pPr>
        <w:spacing w:after="0" w:line="360" w:lineRule="atLeast"/>
        <w:jc w:val="both"/>
        <w:rPr>
          <w:rFonts w:ascii="Arial" w:eastAsia="Times New Roman" w:hAnsi="Arial" w:cs="Arial"/>
          <w:color w:val="000000"/>
          <w:lang w:eastAsia="pt-BR"/>
        </w:rPr>
      </w:pPr>
    </w:p>
    <w:p w14:paraId="04DF3D73" w14:textId="2CEDC737" w:rsidR="00A91D9E" w:rsidRDefault="00A91D9E" w:rsidP="00113AF5">
      <w:pPr>
        <w:spacing w:after="0" w:line="360" w:lineRule="atLeast"/>
        <w:jc w:val="both"/>
        <w:rPr>
          <w:rFonts w:ascii="Arial" w:eastAsia="Times New Roman" w:hAnsi="Arial" w:cs="Arial"/>
          <w:color w:val="000000"/>
          <w:lang w:eastAsia="pt-BR"/>
        </w:rPr>
      </w:pPr>
      <w:r>
        <w:rPr>
          <w:rFonts w:ascii="Arial" w:eastAsia="Times New Roman" w:hAnsi="Arial" w:cs="Arial"/>
          <w:color w:val="000000"/>
          <w:lang w:eastAsia="pt-BR"/>
        </w:rPr>
        <w:t>Processo Seletivo</w:t>
      </w:r>
    </w:p>
    <w:p w14:paraId="52D64830" w14:textId="77777777" w:rsidR="00A91D9E" w:rsidRPr="00A91D9E" w:rsidRDefault="00A91D9E" w:rsidP="00113AF5">
      <w:pPr>
        <w:spacing w:after="0" w:line="360" w:lineRule="atLeast"/>
        <w:ind w:firstLine="708"/>
        <w:jc w:val="both"/>
        <w:rPr>
          <w:rFonts w:ascii="Times New Roman" w:eastAsia="Times New Roman" w:hAnsi="Times New Roman" w:cs="Times New Roman"/>
          <w:color w:val="000000"/>
          <w:lang w:eastAsia="pt-BR"/>
        </w:rPr>
      </w:pPr>
      <w:r w:rsidRPr="00A91D9E">
        <w:rPr>
          <w:rFonts w:ascii="Arial" w:eastAsia="Times New Roman" w:hAnsi="Arial" w:cs="Arial"/>
          <w:color w:val="000000"/>
          <w:lang w:eastAsia="pt-BR"/>
        </w:rPr>
        <w:t>Após a aprovação do projeto de monitoria, a coordenadora lançará o edital de seleção de monitores/as de acordo com os critérios arrolados no Edital nº 002/2021 CPPA/PRG/UFPB, obedecendo à Resolução 02/96 do CONSEPE/UFPB. Em seguida cadastrará o processo seletivo e o resultado da seleção dos/as aprovados/as e classificados/as para Bolsista (remunerado) e Monitor/a Voluntário (não remunerado) e convocará os/as discentes aprovados/as no endereço eletrônico do SIGAA. Os processos de inscrição de alunos/as dos cursos de graduação da UFPB devem ser realizados via SIGAA. O edital será amplamente divulgado nos canais digitais da UFPB e o processo seletivo para a disciplina Patrimônio Material e Imaterial será feito através do envio de uma carta de intenção destacando o interesse na monitoria, juntamente com o histórico acadêmico, para o e-mail: amorimlaras@gmail.com</w:t>
      </w:r>
    </w:p>
    <w:p w14:paraId="019C3D2C" w14:textId="77777777" w:rsidR="00A91D9E" w:rsidRPr="00A91D9E" w:rsidRDefault="00A91D9E" w:rsidP="00113AF5">
      <w:pPr>
        <w:spacing w:after="0" w:line="360" w:lineRule="atLeast"/>
        <w:ind w:firstLine="708"/>
        <w:jc w:val="both"/>
        <w:rPr>
          <w:rFonts w:ascii="Times New Roman" w:eastAsia="Times New Roman" w:hAnsi="Times New Roman" w:cs="Times New Roman"/>
          <w:color w:val="000000"/>
          <w:lang w:eastAsia="pt-BR"/>
        </w:rPr>
      </w:pPr>
      <w:r w:rsidRPr="00A91D9E">
        <w:rPr>
          <w:rFonts w:ascii="Arial" w:eastAsia="Times New Roman" w:hAnsi="Arial" w:cs="Arial"/>
          <w:color w:val="000000"/>
          <w:lang w:eastAsia="pt-BR"/>
        </w:rPr>
        <w:t>De acordo com o artigo 9 do Edital nº 002/2021 CPPA/PRG/UFPB, só poderão se inscrever os/as alunos/as que: </w:t>
      </w:r>
    </w:p>
    <w:p w14:paraId="61E36B64" w14:textId="77777777" w:rsidR="00A91D9E" w:rsidRPr="00A91D9E" w:rsidRDefault="00A91D9E" w:rsidP="00113AF5">
      <w:pPr>
        <w:spacing w:after="0" w:line="360" w:lineRule="atLeast"/>
        <w:jc w:val="both"/>
        <w:rPr>
          <w:rFonts w:ascii="Times New Roman" w:eastAsia="Times New Roman" w:hAnsi="Times New Roman" w:cs="Times New Roman"/>
          <w:color w:val="000000"/>
          <w:lang w:eastAsia="pt-BR"/>
        </w:rPr>
      </w:pPr>
      <w:r w:rsidRPr="00A91D9E">
        <w:rPr>
          <w:rFonts w:ascii="Arial" w:eastAsia="Times New Roman" w:hAnsi="Arial" w:cs="Arial"/>
          <w:color w:val="000000"/>
          <w:lang w:eastAsia="pt-BR"/>
        </w:rPr>
        <w:t>a. que já tenham integralizado a disciplina objeto da seleção ou equivalente, com comprovação em seu histórico acadêmico ou cuja compatibilidade seja atestada pelo departamento da disciplina, com, no mínimo, média 7,0 (sete) em ambos os casos; </w:t>
      </w:r>
    </w:p>
    <w:p w14:paraId="6C9BD430" w14:textId="77777777" w:rsidR="00A91D9E" w:rsidRPr="00A91D9E" w:rsidRDefault="00A91D9E" w:rsidP="00113AF5">
      <w:pPr>
        <w:spacing w:after="0" w:line="360" w:lineRule="atLeast"/>
        <w:jc w:val="both"/>
        <w:rPr>
          <w:rFonts w:ascii="Times New Roman" w:eastAsia="Times New Roman" w:hAnsi="Times New Roman" w:cs="Times New Roman"/>
          <w:color w:val="000000"/>
          <w:lang w:eastAsia="pt-BR"/>
        </w:rPr>
      </w:pPr>
      <w:r w:rsidRPr="00A91D9E">
        <w:rPr>
          <w:rFonts w:ascii="Arial" w:eastAsia="Times New Roman" w:hAnsi="Arial" w:cs="Arial"/>
          <w:color w:val="000000"/>
          <w:lang w:eastAsia="pt-BR"/>
        </w:rPr>
        <w:t>b. que tenham disponibilidade de 12h semanais para as atividades de monitoria. 9.6 Cada discente poderá se inscrever para a monitoria para o ensino remoto e/ou híbrido de apenas 1(um) componente curricular. </w:t>
      </w:r>
    </w:p>
    <w:p w14:paraId="31281A38" w14:textId="77777777" w:rsidR="00A91D9E" w:rsidRPr="00A91D9E" w:rsidRDefault="00A91D9E" w:rsidP="00113AF5">
      <w:pPr>
        <w:spacing w:after="0" w:line="360" w:lineRule="atLeast"/>
        <w:jc w:val="both"/>
        <w:rPr>
          <w:rFonts w:ascii="Times New Roman" w:eastAsia="Times New Roman" w:hAnsi="Times New Roman" w:cs="Times New Roman"/>
          <w:color w:val="000000"/>
          <w:lang w:eastAsia="pt-BR"/>
        </w:rPr>
      </w:pPr>
      <w:r w:rsidRPr="00A91D9E">
        <w:rPr>
          <w:rFonts w:ascii="Arial" w:eastAsia="Times New Roman" w:hAnsi="Arial" w:cs="Arial"/>
          <w:color w:val="000000"/>
          <w:lang w:eastAsia="pt-BR"/>
        </w:rPr>
        <w:t>            A condição de reprovado/a na disciplina objeto da monitoria, ou em qualquer outra que lhe seja pré-requisito, constitui impedimento para a inscrição ao processo seletivo. </w:t>
      </w:r>
    </w:p>
    <w:p w14:paraId="6A8295A8" w14:textId="77777777" w:rsidR="00A91D9E" w:rsidRPr="00A91D9E" w:rsidRDefault="00A91D9E" w:rsidP="00113AF5">
      <w:pPr>
        <w:spacing w:after="0" w:line="360" w:lineRule="atLeast"/>
        <w:ind w:firstLine="708"/>
        <w:jc w:val="both"/>
        <w:rPr>
          <w:rFonts w:ascii="Times New Roman" w:eastAsia="Times New Roman" w:hAnsi="Times New Roman" w:cs="Times New Roman"/>
          <w:color w:val="000000"/>
          <w:lang w:eastAsia="pt-BR"/>
        </w:rPr>
      </w:pPr>
      <w:r w:rsidRPr="00A91D9E">
        <w:rPr>
          <w:rFonts w:ascii="Arial" w:eastAsia="Times New Roman" w:hAnsi="Arial" w:cs="Arial"/>
          <w:color w:val="000000"/>
          <w:lang w:eastAsia="pt-BR"/>
        </w:rPr>
        <w:t>A classificação dos/as candidatos/as, até o limite do número de bolsas recomendadas para cada Projeto de Ensino, será realizada de acordo com a ordem decrescente da média ponderada (M) entre a nota obtida na prova de seleção (N1), a nota obtida na disciplina (N2) e o Coeficiente de Rendimento Acadêmico (CRA), com pesos 3, 2 e 1, respectivamente.</w:t>
      </w:r>
    </w:p>
    <w:p w14:paraId="2EB43A87" w14:textId="77777777" w:rsidR="00A91D9E" w:rsidRPr="00A91D9E" w:rsidRDefault="00A91D9E" w:rsidP="00113AF5">
      <w:pPr>
        <w:spacing w:after="0" w:line="360" w:lineRule="atLeast"/>
        <w:jc w:val="both"/>
        <w:rPr>
          <w:rFonts w:ascii="Times New Roman" w:eastAsia="Times New Roman" w:hAnsi="Times New Roman" w:cs="Times New Roman"/>
          <w:color w:val="000000"/>
          <w:lang w:eastAsia="pt-BR"/>
        </w:rPr>
      </w:pPr>
      <w:r w:rsidRPr="00A91D9E">
        <w:rPr>
          <w:rFonts w:ascii="Arial" w:eastAsia="Times New Roman" w:hAnsi="Arial" w:cs="Arial"/>
          <w:color w:val="000000"/>
          <w:lang w:eastAsia="pt-BR"/>
        </w:rPr>
        <w:t> </w:t>
      </w:r>
    </w:p>
    <w:p w14:paraId="5336277B" w14:textId="77777777" w:rsidR="00A91D9E" w:rsidRPr="00A91D9E" w:rsidRDefault="00A91D9E" w:rsidP="00113AF5">
      <w:pPr>
        <w:spacing w:after="0" w:line="360" w:lineRule="atLeast"/>
        <w:jc w:val="both"/>
        <w:rPr>
          <w:rFonts w:ascii="Times New Roman" w:eastAsia="Times New Roman" w:hAnsi="Times New Roman" w:cs="Times New Roman"/>
          <w:color w:val="000000"/>
          <w:lang w:eastAsia="pt-BR"/>
        </w:rPr>
      </w:pPr>
      <w:r w:rsidRPr="00A91D9E">
        <w:rPr>
          <w:rFonts w:ascii="Arial" w:eastAsia="Times New Roman" w:hAnsi="Arial" w:cs="Arial"/>
          <w:color w:val="000000"/>
          <w:lang w:eastAsia="pt-BR"/>
        </w:rPr>
        <w:t>Após a conclusão do processo seletivo, os/as monitores/as selecionados/as (bolsista ou não remunerado) deverão preencher o contrato correspondente (Anexo II do edital), assiná-lo digitalmente e enviá-lo ao e-mail amorimlaras@gmail.com</w:t>
      </w:r>
    </w:p>
    <w:p w14:paraId="63FD4BE2" w14:textId="77777777" w:rsidR="00A91D9E" w:rsidRPr="00A91D9E" w:rsidRDefault="00A91D9E" w:rsidP="00113AF5">
      <w:pPr>
        <w:spacing w:after="0" w:line="360" w:lineRule="atLeast"/>
        <w:jc w:val="both"/>
        <w:rPr>
          <w:rFonts w:ascii="Arial" w:eastAsia="Times New Roman" w:hAnsi="Arial" w:cs="Arial"/>
          <w:color w:val="000000"/>
          <w:lang w:eastAsia="pt-BR"/>
        </w:rPr>
      </w:pPr>
      <w:r w:rsidRPr="00A91D9E">
        <w:rPr>
          <w:rFonts w:ascii="Arial" w:eastAsia="Times New Roman" w:hAnsi="Arial" w:cs="Arial"/>
          <w:color w:val="000000"/>
          <w:lang w:eastAsia="pt-BR"/>
        </w:rPr>
        <w:t xml:space="preserve"> </w:t>
      </w:r>
    </w:p>
    <w:p w14:paraId="381D2D80" w14:textId="07550495" w:rsidR="00A91D9E" w:rsidRPr="00A91D9E" w:rsidRDefault="00A91D9E" w:rsidP="00113AF5">
      <w:pPr>
        <w:spacing w:after="0" w:line="360" w:lineRule="atLeast"/>
        <w:jc w:val="both"/>
        <w:rPr>
          <w:rFonts w:ascii="Arial" w:eastAsia="Times New Roman" w:hAnsi="Arial" w:cs="Arial"/>
          <w:color w:val="000000"/>
          <w:lang w:eastAsia="pt-BR"/>
        </w:rPr>
      </w:pPr>
      <w:r w:rsidRPr="00A91D9E">
        <w:rPr>
          <w:rFonts w:ascii="Arial" w:eastAsia="Times New Roman" w:hAnsi="Arial" w:cs="Arial"/>
          <w:color w:val="000000"/>
          <w:lang w:eastAsia="pt-BR"/>
        </w:rPr>
        <w:t xml:space="preserve">Referências </w:t>
      </w:r>
    </w:p>
    <w:p w14:paraId="0A2C4E2F" w14:textId="77777777" w:rsidR="00A91D9E" w:rsidRPr="00A91D9E" w:rsidRDefault="00A91D9E" w:rsidP="00113AF5">
      <w:pPr>
        <w:spacing w:before="100" w:beforeAutospacing="1" w:after="100" w:afterAutospacing="1" w:line="240" w:lineRule="auto"/>
        <w:jc w:val="both"/>
        <w:rPr>
          <w:rFonts w:ascii="Verdana" w:eastAsia="Times New Roman" w:hAnsi="Verdana" w:cs="Times New Roman"/>
          <w:color w:val="000000"/>
          <w:sz w:val="15"/>
          <w:szCs w:val="15"/>
          <w:lang w:eastAsia="pt-BR"/>
        </w:rPr>
      </w:pPr>
      <w:r w:rsidRPr="00A91D9E">
        <w:rPr>
          <w:rFonts w:ascii="Tahoma" w:eastAsia="Times New Roman" w:hAnsi="Tahoma" w:cs="Tahoma"/>
          <w:color w:val="000000"/>
          <w:sz w:val="18"/>
          <w:szCs w:val="18"/>
          <w:lang w:eastAsia="pt-BR"/>
        </w:rPr>
        <w:lastRenderedPageBreak/>
        <w:t xml:space="preserve">ARANTES, A. </w:t>
      </w:r>
      <w:proofErr w:type="gramStart"/>
      <w:r w:rsidRPr="00A91D9E">
        <w:rPr>
          <w:rFonts w:ascii="Tahoma" w:eastAsia="Times New Roman" w:hAnsi="Tahoma" w:cs="Tahoma"/>
          <w:color w:val="000000"/>
          <w:sz w:val="18"/>
          <w:szCs w:val="18"/>
          <w:lang w:eastAsia="pt-BR"/>
        </w:rPr>
        <w:t>A..</w:t>
      </w:r>
      <w:proofErr w:type="gramEnd"/>
      <w:r w:rsidRPr="00A91D9E">
        <w:rPr>
          <w:rFonts w:ascii="Tahoma" w:eastAsia="Times New Roman" w:hAnsi="Tahoma" w:cs="Tahoma"/>
          <w:color w:val="000000"/>
          <w:sz w:val="18"/>
          <w:szCs w:val="18"/>
          <w:lang w:eastAsia="pt-BR"/>
        </w:rPr>
        <w:t xml:space="preserve"> &lt;</w:t>
      </w:r>
      <w:proofErr w:type="spellStart"/>
      <w:r w:rsidRPr="00A91D9E">
        <w:rPr>
          <w:rFonts w:ascii="Tahoma" w:eastAsia="Times New Roman" w:hAnsi="Tahoma" w:cs="Tahoma"/>
          <w:color w:val="000000"/>
          <w:sz w:val="18"/>
          <w:szCs w:val="18"/>
          <w:lang w:eastAsia="pt-BR"/>
        </w:rPr>
        <w:t>strong</w:t>
      </w:r>
      <w:proofErr w:type="spellEnd"/>
      <w:r w:rsidRPr="00A91D9E">
        <w:rPr>
          <w:rFonts w:ascii="Tahoma" w:eastAsia="Times New Roman" w:hAnsi="Tahoma" w:cs="Tahoma"/>
          <w:color w:val="000000"/>
          <w:sz w:val="18"/>
          <w:szCs w:val="18"/>
          <w:lang w:eastAsia="pt-BR"/>
        </w:rPr>
        <w:t>&gt;O Patrimônio Cultural e seus usos: a dimensão urbana. Em&lt;/</w:t>
      </w:r>
      <w:proofErr w:type="spellStart"/>
      <w:r w:rsidRPr="00A91D9E">
        <w:rPr>
          <w:rFonts w:ascii="Tahoma" w:eastAsia="Times New Roman" w:hAnsi="Tahoma" w:cs="Tahoma"/>
          <w:color w:val="000000"/>
          <w:sz w:val="18"/>
          <w:szCs w:val="18"/>
          <w:lang w:eastAsia="pt-BR"/>
        </w:rPr>
        <w:t>strong</w:t>
      </w:r>
      <w:proofErr w:type="spellEnd"/>
      <w:r w:rsidRPr="00A91D9E">
        <w:rPr>
          <w:rFonts w:ascii="Tahoma" w:eastAsia="Times New Roman" w:hAnsi="Tahoma" w:cs="Tahoma"/>
          <w:color w:val="000000"/>
          <w:sz w:val="18"/>
          <w:szCs w:val="18"/>
          <w:lang w:eastAsia="pt-BR"/>
        </w:rPr>
        <w:t xml:space="preserve">&gt;. 1ed. </w:t>
      </w:r>
      <w:proofErr w:type="spellStart"/>
      <w:r w:rsidRPr="00A91D9E">
        <w:rPr>
          <w:rFonts w:ascii="Tahoma" w:eastAsia="Times New Roman" w:hAnsi="Tahoma" w:cs="Tahoma"/>
          <w:color w:val="000000"/>
          <w:sz w:val="18"/>
          <w:szCs w:val="18"/>
          <w:lang w:eastAsia="pt-BR"/>
        </w:rPr>
        <w:t>Habitus</w:t>
      </w:r>
      <w:proofErr w:type="spellEnd"/>
      <w:r w:rsidRPr="00A91D9E">
        <w:rPr>
          <w:rFonts w:ascii="Tahoma" w:eastAsia="Times New Roman" w:hAnsi="Tahoma" w:cs="Tahoma"/>
          <w:color w:val="000000"/>
          <w:sz w:val="18"/>
          <w:szCs w:val="18"/>
          <w:lang w:eastAsia="pt-BR"/>
        </w:rPr>
        <w:t xml:space="preserve">, Revista do Instituto Goiano de Pré-história e Antropologia da Universidade Católica de Goiás. V. 4, </w:t>
      </w:r>
      <w:proofErr w:type="gramStart"/>
      <w:r w:rsidRPr="00A91D9E">
        <w:rPr>
          <w:rFonts w:ascii="Tahoma" w:eastAsia="Times New Roman" w:hAnsi="Tahoma" w:cs="Tahoma"/>
          <w:color w:val="000000"/>
          <w:sz w:val="18"/>
          <w:szCs w:val="18"/>
          <w:lang w:eastAsia="pt-BR"/>
        </w:rPr>
        <w:t>n.1,.</w:t>
      </w:r>
      <w:proofErr w:type="gramEnd"/>
      <w:r w:rsidRPr="00A91D9E">
        <w:rPr>
          <w:rFonts w:ascii="Tahoma" w:eastAsia="Times New Roman" w:hAnsi="Tahoma" w:cs="Tahoma"/>
          <w:color w:val="000000"/>
          <w:sz w:val="18"/>
          <w:szCs w:val="18"/>
          <w:lang w:eastAsia="pt-BR"/>
        </w:rPr>
        <w:t xml:space="preserve"> P.425-</w:t>
      </w:r>
      <w:proofErr w:type="gramStart"/>
      <w:r w:rsidRPr="00A91D9E">
        <w:rPr>
          <w:rFonts w:ascii="Tahoma" w:eastAsia="Times New Roman" w:hAnsi="Tahoma" w:cs="Tahoma"/>
          <w:color w:val="000000"/>
          <w:sz w:val="18"/>
          <w:szCs w:val="18"/>
          <w:lang w:eastAsia="pt-BR"/>
        </w:rPr>
        <w:t>435..</w:t>
      </w:r>
      <w:proofErr w:type="gramEnd"/>
      <w:r w:rsidRPr="00A91D9E">
        <w:rPr>
          <w:rFonts w:ascii="Tahoma" w:eastAsia="Times New Roman" w:hAnsi="Tahoma" w:cs="Tahoma"/>
          <w:color w:val="000000"/>
          <w:sz w:val="18"/>
          <w:szCs w:val="18"/>
          <w:lang w:eastAsia="pt-BR"/>
        </w:rPr>
        <w:t xml:space="preserve"> 2006</w:t>
      </w:r>
    </w:p>
    <w:p w14:paraId="60C01FA3" w14:textId="77777777" w:rsidR="00A91D9E" w:rsidRPr="00A91D9E" w:rsidRDefault="00A91D9E" w:rsidP="00113AF5">
      <w:pPr>
        <w:spacing w:before="100" w:beforeAutospacing="1" w:after="100" w:afterAutospacing="1" w:line="240" w:lineRule="auto"/>
        <w:jc w:val="both"/>
        <w:rPr>
          <w:rFonts w:ascii="Verdana" w:eastAsia="Times New Roman" w:hAnsi="Verdana" w:cs="Times New Roman"/>
          <w:color w:val="000000"/>
          <w:sz w:val="15"/>
          <w:szCs w:val="15"/>
          <w:lang w:eastAsia="pt-BR"/>
        </w:rPr>
      </w:pPr>
      <w:r w:rsidRPr="00A91D9E">
        <w:rPr>
          <w:rFonts w:ascii="Tahoma" w:eastAsia="Times New Roman" w:hAnsi="Tahoma" w:cs="Tahoma"/>
          <w:color w:val="000000"/>
          <w:sz w:val="18"/>
          <w:szCs w:val="18"/>
          <w:lang w:eastAsia="pt-BR"/>
        </w:rPr>
        <w:t>FUNARI, Pedro P. E PELEGRINI, Sandra C. A... &lt;</w:t>
      </w:r>
      <w:proofErr w:type="spellStart"/>
      <w:r w:rsidRPr="00A91D9E">
        <w:rPr>
          <w:rFonts w:ascii="Tahoma" w:eastAsia="Times New Roman" w:hAnsi="Tahoma" w:cs="Tahoma"/>
          <w:color w:val="000000"/>
          <w:sz w:val="18"/>
          <w:szCs w:val="18"/>
          <w:lang w:eastAsia="pt-BR"/>
        </w:rPr>
        <w:t>strong</w:t>
      </w:r>
      <w:proofErr w:type="spellEnd"/>
      <w:r w:rsidRPr="00A91D9E">
        <w:rPr>
          <w:rFonts w:ascii="Tahoma" w:eastAsia="Times New Roman" w:hAnsi="Tahoma" w:cs="Tahoma"/>
          <w:color w:val="000000"/>
          <w:sz w:val="18"/>
          <w:szCs w:val="18"/>
          <w:lang w:eastAsia="pt-BR"/>
        </w:rPr>
        <w:t xml:space="preserve">&gt;PATRIMÔNIO HISTÓRICO E </w:t>
      </w:r>
      <w:proofErr w:type="gramStart"/>
      <w:r w:rsidRPr="00A91D9E">
        <w:rPr>
          <w:rFonts w:ascii="Tahoma" w:eastAsia="Times New Roman" w:hAnsi="Tahoma" w:cs="Tahoma"/>
          <w:color w:val="000000"/>
          <w:sz w:val="18"/>
          <w:szCs w:val="18"/>
          <w:lang w:eastAsia="pt-BR"/>
        </w:rPr>
        <w:t>CULTURAL.&lt;</w:t>
      </w:r>
      <w:proofErr w:type="gramEnd"/>
      <w:r w:rsidRPr="00A91D9E">
        <w:rPr>
          <w:rFonts w:ascii="Tahoma" w:eastAsia="Times New Roman" w:hAnsi="Tahoma" w:cs="Tahoma"/>
          <w:color w:val="000000"/>
          <w:sz w:val="18"/>
          <w:szCs w:val="18"/>
          <w:lang w:eastAsia="pt-BR"/>
        </w:rPr>
        <w:t>/</w:t>
      </w:r>
      <w:proofErr w:type="spellStart"/>
      <w:r w:rsidRPr="00A91D9E">
        <w:rPr>
          <w:rFonts w:ascii="Tahoma" w:eastAsia="Times New Roman" w:hAnsi="Tahoma" w:cs="Tahoma"/>
          <w:color w:val="000000"/>
          <w:sz w:val="18"/>
          <w:szCs w:val="18"/>
          <w:lang w:eastAsia="pt-BR"/>
        </w:rPr>
        <w:t>strong</w:t>
      </w:r>
      <w:proofErr w:type="spellEnd"/>
      <w:r w:rsidRPr="00A91D9E">
        <w:rPr>
          <w:rFonts w:ascii="Tahoma" w:eastAsia="Times New Roman" w:hAnsi="Tahoma" w:cs="Tahoma"/>
          <w:color w:val="000000"/>
          <w:sz w:val="18"/>
          <w:szCs w:val="18"/>
          <w:lang w:eastAsia="pt-BR"/>
        </w:rPr>
        <w:t xml:space="preserve">&gt;. 1Ed. Rio de Janeiro, Zahar </w:t>
      </w:r>
      <w:proofErr w:type="gramStart"/>
      <w:r w:rsidRPr="00A91D9E">
        <w:rPr>
          <w:rFonts w:ascii="Tahoma" w:eastAsia="Times New Roman" w:hAnsi="Tahoma" w:cs="Tahoma"/>
          <w:color w:val="000000"/>
          <w:sz w:val="18"/>
          <w:szCs w:val="18"/>
          <w:lang w:eastAsia="pt-BR"/>
        </w:rPr>
        <w:t>Editor..</w:t>
      </w:r>
      <w:proofErr w:type="gramEnd"/>
      <w:r w:rsidRPr="00A91D9E">
        <w:rPr>
          <w:rFonts w:ascii="Tahoma" w:eastAsia="Times New Roman" w:hAnsi="Tahoma" w:cs="Tahoma"/>
          <w:color w:val="000000"/>
          <w:sz w:val="18"/>
          <w:szCs w:val="18"/>
          <w:lang w:eastAsia="pt-BR"/>
        </w:rPr>
        <w:t xml:space="preserve"> 2006</w:t>
      </w:r>
    </w:p>
    <w:p w14:paraId="458AA3C1" w14:textId="77777777" w:rsidR="00A91D9E" w:rsidRPr="00A91D9E" w:rsidRDefault="00A91D9E" w:rsidP="00113AF5">
      <w:pPr>
        <w:spacing w:before="100" w:beforeAutospacing="1" w:after="100" w:afterAutospacing="1" w:line="240" w:lineRule="auto"/>
        <w:jc w:val="both"/>
        <w:rPr>
          <w:rFonts w:ascii="Verdana" w:eastAsia="Times New Roman" w:hAnsi="Verdana" w:cs="Times New Roman"/>
          <w:color w:val="000000"/>
          <w:sz w:val="15"/>
          <w:szCs w:val="15"/>
          <w:lang w:eastAsia="pt-BR"/>
        </w:rPr>
      </w:pPr>
      <w:r w:rsidRPr="00A91D9E">
        <w:rPr>
          <w:rFonts w:ascii="Tahoma" w:eastAsia="Times New Roman" w:hAnsi="Tahoma" w:cs="Tahoma"/>
          <w:color w:val="000000"/>
          <w:sz w:val="18"/>
          <w:szCs w:val="18"/>
          <w:lang w:eastAsia="pt-BR"/>
        </w:rPr>
        <w:t xml:space="preserve">FONSECA, M. Cecília </w:t>
      </w:r>
      <w:proofErr w:type="gramStart"/>
      <w:r w:rsidRPr="00A91D9E">
        <w:rPr>
          <w:rFonts w:ascii="Tahoma" w:eastAsia="Times New Roman" w:hAnsi="Tahoma" w:cs="Tahoma"/>
          <w:color w:val="000000"/>
          <w:sz w:val="18"/>
          <w:szCs w:val="18"/>
          <w:lang w:eastAsia="pt-BR"/>
        </w:rPr>
        <w:t>Londres..</w:t>
      </w:r>
      <w:proofErr w:type="gramEnd"/>
      <w:r w:rsidRPr="00A91D9E">
        <w:rPr>
          <w:rFonts w:ascii="Tahoma" w:eastAsia="Times New Roman" w:hAnsi="Tahoma" w:cs="Tahoma"/>
          <w:color w:val="000000"/>
          <w:sz w:val="18"/>
          <w:szCs w:val="18"/>
          <w:lang w:eastAsia="pt-BR"/>
        </w:rPr>
        <w:t xml:space="preserve"> &lt;</w:t>
      </w:r>
      <w:proofErr w:type="spellStart"/>
      <w:r w:rsidRPr="00A91D9E">
        <w:rPr>
          <w:rFonts w:ascii="Tahoma" w:eastAsia="Times New Roman" w:hAnsi="Tahoma" w:cs="Tahoma"/>
          <w:color w:val="000000"/>
          <w:sz w:val="18"/>
          <w:szCs w:val="18"/>
          <w:lang w:eastAsia="pt-BR"/>
        </w:rPr>
        <w:t>strong</w:t>
      </w:r>
      <w:proofErr w:type="spellEnd"/>
      <w:r w:rsidRPr="00A91D9E">
        <w:rPr>
          <w:rFonts w:ascii="Tahoma" w:eastAsia="Times New Roman" w:hAnsi="Tahoma" w:cs="Tahoma"/>
          <w:color w:val="000000"/>
          <w:sz w:val="18"/>
          <w:szCs w:val="18"/>
          <w:lang w:eastAsia="pt-BR"/>
        </w:rPr>
        <w:t xml:space="preserve">&gt;O PATRIMONIO EM </w:t>
      </w:r>
      <w:proofErr w:type="gramStart"/>
      <w:r w:rsidRPr="00A91D9E">
        <w:rPr>
          <w:rFonts w:ascii="Tahoma" w:eastAsia="Times New Roman" w:hAnsi="Tahoma" w:cs="Tahoma"/>
          <w:color w:val="000000"/>
          <w:sz w:val="18"/>
          <w:szCs w:val="18"/>
          <w:lang w:eastAsia="pt-BR"/>
        </w:rPr>
        <w:t>PROCESSO.&lt;</w:t>
      </w:r>
      <w:proofErr w:type="gramEnd"/>
      <w:r w:rsidRPr="00A91D9E">
        <w:rPr>
          <w:rFonts w:ascii="Tahoma" w:eastAsia="Times New Roman" w:hAnsi="Tahoma" w:cs="Tahoma"/>
          <w:color w:val="000000"/>
          <w:sz w:val="18"/>
          <w:szCs w:val="18"/>
          <w:lang w:eastAsia="pt-BR"/>
        </w:rPr>
        <w:t>/</w:t>
      </w:r>
      <w:proofErr w:type="spellStart"/>
      <w:r w:rsidRPr="00A91D9E">
        <w:rPr>
          <w:rFonts w:ascii="Tahoma" w:eastAsia="Times New Roman" w:hAnsi="Tahoma" w:cs="Tahoma"/>
          <w:color w:val="000000"/>
          <w:sz w:val="18"/>
          <w:szCs w:val="18"/>
          <w:lang w:eastAsia="pt-BR"/>
        </w:rPr>
        <w:t>strong</w:t>
      </w:r>
      <w:proofErr w:type="spellEnd"/>
      <w:r w:rsidRPr="00A91D9E">
        <w:rPr>
          <w:rFonts w:ascii="Tahoma" w:eastAsia="Times New Roman" w:hAnsi="Tahoma" w:cs="Tahoma"/>
          <w:color w:val="000000"/>
          <w:sz w:val="18"/>
          <w:szCs w:val="18"/>
          <w:lang w:eastAsia="pt-BR"/>
        </w:rPr>
        <w:t xml:space="preserve">&gt;. 1Ed. Rio de Janeiro: </w:t>
      </w:r>
      <w:proofErr w:type="spellStart"/>
      <w:r w:rsidRPr="00A91D9E">
        <w:rPr>
          <w:rFonts w:ascii="Tahoma" w:eastAsia="Times New Roman" w:hAnsi="Tahoma" w:cs="Tahoma"/>
          <w:color w:val="000000"/>
          <w:sz w:val="18"/>
          <w:szCs w:val="18"/>
          <w:lang w:eastAsia="pt-BR"/>
        </w:rPr>
        <w:t>Edufrj</w:t>
      </w:r>
      <w:proofErr w:type="spellEnd"/>
      <w:r w:rsidRPr="00A91D9E">
        <w:rPr>
          <w:rFonts w:ascii="Tahoma" w:eastAsia="Times New Roman" w:hAnsi="Tahoma" w:cs="Tahoma"/>
          <w:color w:val="000000"/>
          <w:sz w:val="18"/>
          <w:szCs w:val="18"/>
          <w:lang w:eastAsia="pt-BR"/>
        </w:rPr>
        <w:t>/Minc/</w:t>
      </w:r>
      <w:proofErr w:type="gramStart"/>
      <w:r w:rsidRPr="00A91D9E">
        <w:rPr>
          <w:rFonts w:ascii="Tahoma" w:eastAsia="Times New Roman" w:hAnsi="Tahoma" w:cs="Tahoma"/>
          <w:color w:val="000000"/>
          <w:sz w:val="18"/>
          <w:szCs w:val="18"/>
          <w:lang w:eastAsia="pt-BR"/>
        </w:rPr>
        <w:t>IPHAN..</w:t>
      </w:r>
      <w:proofErr w:type="gramEnd"/>
      <w:r w:rsidRPr="00A91D9E">
        <w:rPr>
          <w:rFonts w:ascii="Tahoma" w:eastAsia="Times New Roman" w:hAnsi="Tahoma" w:cs="Tahoma"/>
          <w:color w:val="000000"/>
          <w:sz w:val="18"/>
          <w:szCs w:val="18"/>
          <w:lang w:eastAsia="pt-BR"/>
        </w:rPr>
        <w:t xml:space="preserve"> 1997</w:t>
      </w:r>
    </w:p>
    <w:p w14:paraId="72B90065" w14:textId="77777777" w:rsidR="00A91D9E" w:rsidRPr="00A91D9E" w:rsidRDefault="00A91D9E" w:rsidP="00113AF5">
      <w:pPr>
        <w:spacing w:before="100" w:beforeAutospacing="1" w:after="100" w:afterAutospacing="1" w:line="240" w:lineRule="auto"/>
        <w:jc w:val="both"/>
        <w:rPr>
          <w:rFonts w:ascii="Verdana" w:eastAsia="Times New Roman" w:hAnsi="Verdana" w:cs="Times New Roman"/>
          <w:color w:val="000000"/>
          <w:sz w:val="15"/>
          <w:szCs w:val="15"/>
          <w:lang w:eastAsia="pt-BR"/>
        </w:rPr>
      </w:pPr>
      <w:r w:rsidRPr="00A91D9E">
        <w:rPr>
          <w:rFonts w:ascii="Tahoma" w:eastAsia="Times New Roman" w:hAnsi="Tahoma" w:cs="Tahoma"/>
          <w:color w:val="000000"/>
          <w:sz w:val="18"/>
          <w:szCs w:val="18"/>
          <w:lang w:eastAsia="pt-BR"/>
        </w:rPr>
        <w:t xml:space="preserve">GONÇALVES, José Reginaldo </w:t>
      </w:r>
      <w:proofErr w:type="gramStart"/>
      <w:r w:rsidRPr="00A91D9E">
        <w:rPr>
          <w:rFonts w:ascii="Tahoma" w:eastAsia="Times New Roman" w:hAnsi="Tahoma" w:cs="Tahoma"/>
          <w:color w:val="000000"/>
          <w:sz w:val="18"/>
          <w:szCs w:val="18"/>
          <w:lang w:eastAsia="pt-BR"/>
        </w:rPr>
        <w:t>Santos..</w:t>
      </w:r>
      <w:proofErr w:type="gramEnd"/>
      <w:r w:rsidRPr="00A91D9E">
        <w:rPr>
          <w:rFonts w:ascii="Tahoma" w:eastAsia="Times New Roman" w:hAnsi="Tahoma" w:cs="Tahoma"/>
          <w:color w:val="000000"/>
          <w:sz w:val="18"/>
          <w:szCs w:val="18"/>
          <w:lang w:eastAsia="pt-BR"/>
        </w:rPr>
        <w:t xml:space="preserve"> &lt;</w:t>
      </w:r>
      <w:proofErr w:type="spellStart"/>
      <w:r w:rsidRPr="00A91D9E">
        <w:rPr>
          <w:rFonts w:ascii="Tahoma" w:eastAsia="Times New Roman" w:hAnsi="Tahoma" w:cs="Tahoma"/>
          <w:color w:val="000000"/>
          <w:sz w:val="18"/>
          <w:szCs w:val="18"/>
          <w:lang w:eastAsia="pt-BR"/>
        </w:rPr>
        <w:t>strong</w:t>
      </w:r>
      <w:proofErr w:type="spellEnd"/>
      <w:r w:rsidRPr="00A91D9E">
        <w:rPr>
          <w:rFonts w:ascii="Tahoma" w:eastAsia="Times New Roman" w:hAnsi="Tahoma" w:cs="Tahoma"/>
          <w:color w:val="000000"/>
          <w:sz w:val="18"/>
          <w:szCs w:val="18"/>
          <w:lang w:eastAsia="pt-BR"/>
        </w:rPr>
        <w:t>&gt;Patrimônio como categoria de pensamento. Regina Abreu e Mário Chagas (</w:t>
      </w:r>
      <w:proofErr w:type="spellStart"/>
      <w:r w:rsidRPr="00A91D9E">
        <w:rPr>
          <w:rFonts w:ascii="Tahoma" w:eastAsia="Times New Roman" w:hAnsi="Tahoma" w:cs="Tahoma"/>
          <w:color w:val="000000"/>
          <w:sz w:val="18"/>
          <w:szCs w:val="18"/>
          <w:lang w:eastAsia="pt-BR"/>
        </w:rPr>
        <w:t>orgs</w:t>
      </w:r>
      <w:proofErr w:type="spellEnd"/>
      <w:r w:rsidRPr="00A91D9E">
        <w:rPr>
          <w:rFonts w:ascii="Tahoma" w:eastAsia="Times New Roman" w:hAnsi="Tahoma" w:cs="Tahoma"/>
          <w:color w:val="000000"/>
          <w:sz w:val="18"/>
          <w:szCs w:val="18"/>
          <w:lang w:eastAsia="pt-BR"/>
        </w:rPr>
        <w:t xml:space="preserve">.). Rio de Janeiro, DP&amp;A, </w:t>
      </w:r>
      <w:proofErr w:type="gramStart"/>
      <w:r w:rsidRPr="00A91D9E">
        <w:rPr>
          <w:rFonts w:ascii="Tahoma" w:eastAsia="Times New Roman" w:hAnsi="Tahoma" w:cs="Tahoma"/>
          <w:color w:val="000000"/>
          <w:sz w:val="18"/>
          <w:szCs w:val="18"/>
          <w:lang w:eastAsia="pt-BR"/>
        </w:rPr>
        <w:t>2003.&lt;</w:t>
      </w:r>
      <w:proofErr w:type="gramEnd"/>
      <w:r w:rsidRPr="00A91D9E">
        <w:rPr>
          <w:rFonts w:ascii="Tahoma" w:eastAsia="Times New Roman" w:hAnsi="Tahoma" w:cs="Tahoma"/>
          <w:color w:val="000000"/>
          <w:sz w:val="18"/>
          <w:szCs w:val="18"/>
          <w:lang w:eastAsia="pt-BR"/>
        </w:rPr>
        <w:t>/</w:t>
      </w:r>
      <w:proofErr w:type="spellStart"/>
      <w:r w:rsidRPr="00A91D9E">
        <w:rPr>
          <w:rFonts w:ascii="Tahoma" w:eastAsia="Times New Roman" w:hAnsi="Tahoma" w:cs="Tahoma"/>
          <w:color w:val="000000"/>
          <w:sz w:val="18"/>
          <w:szCs w:val="18"/>
          <w:lang w:eastAsia="pt-BR"/>
        </w:rPr>
        <w:t>strong</w:t>
      </w:r>
      <w:proofErr w:type="spellEnd"/>
      <w:r w:rsidRPr="00A91D9E">
        <w:rPr>
          <w:rFonts w:ascii="Tahoma" w:eastAsia="Times New Roman" w:hAnsi="Tahoma" w:cs="Tahoma"/>
          <w:color w:val="000000"/>
          <w:sz w:val="18"/>
          <w:szCs w:val="18"/>
          <w:lang w:eastAsia="pt-BR"/>
        </w:rPr>
        <w:t xml:space="preserve">&gt;. 1 ed. Em Memória e Patrimônio-ensaios </w:t>
      </w:r>
      <w:proofErr w:type="gramStart"/>
      <w:r w:rsidRPr="00A91D9E">
        <w:rPr>
          <w:rFonts w:ascii="Tahoma" w:eastAsia="Times New Roman" w:hAnsi="Tahoma" w:cs="Tahoma"/>
          <w:color w:val="000000"/>
          <w:sz w:val="18"/>
          <w:szCs w:val="18"/>
          <w:lang w:eastAsia="pt-BR"/>
        </w:rPr>
        <w:t>contemporâneos..</w:t>
      </w:r>
      <w:proofErr w:type="gramEnd"/>
      <w:r w:rsidRPr="00A91D9E">
        <w:rPr>
          <w:rFonts w:ascii="Tahoma" w:eastAsia="Times New Roman" w:hAnsi="Tahoma" w:cs="Tahoma"/>
          <w:color w:val="000000"/>
          <w:sz w:val="18"/>
          <w:szCs w:val="18"/>
          <w:lang w:eastAsia="pt-BR"/>
        </w:rPr>
        <w:t xml:space="preserve"> 2003</w:t>
      </w:r>
    </w:p>
    <w:tbl>
      <w:tblPr>
        <w:tblW w:w="13095" w:type="dxa"/>
        <w:tblCellMar>
          <w:left w:w="0" w:type="dxa"/>
          <w:right w:w="0" w:type="dxa"/>
        </w:tblCellMar>
        <w:tblLook w:val="04A0" w:firstRow="1" w:lastRow="0" w:firstColumn="1" w:lastColumn="0" w:noHBand="0" w:noVBand="1"/>
      </w:tblPr>
      <w:tblGrid>
        <w:gridCol w:w="13095"/>
      </w:tblGrid>
      <w:tr w:rsidR="00A91D9E" w:rsidRPr="00A91D9E" w14:paraId="4A86536C" w14:textId="77777777" w:rsidTr="00A91D9E">
        <w:tc>
          <w:tcPr>
            <w:tcW w:w="0" w:type="auto"/>
            <w:tcBorders>
              <w:top w:val="nil"/>
              <w:left w:val="nil"/>
              <w:bottom w:val="nil"/>
              <w:right w:val="nil"/>
            </w:tcBorders>
            <w:tcMar>
              <w:top w:w="45" w:type="dxa"/>
              <w:left w:w="45" w:type="dxa"/>
              <w:bottom w:w="45" w:type="dxa"/>
              <w:right w:w="45" w:type="dxa"/>
            </w:tcMar>
            <w:vAlign w:val="center"/>
            <w:hideMark/>
          </w:tcPr>
          <w:p w14:paraId="3E51285D" w14:textId="77777777" w:rsidR="00A91D9E" w:rsidRPr="00A91D9E" w:rsidRDefault="00A91D9E" w:rsidP="00113AF5">
            <w:pPr>
              <w:spacing w:before="120" w:after="120" w:line="240" w:lineRule="auto"/>
              <w:ind w:left="120" w:right="120"/>
              <w:jc w:val="both"/>
              <w:rPr>
                <w:rFonts w:ascii="inherit" w:eastAsia="Times New Roman" w:hAnsi="inherit" w:cs="Tahoma"/>
                <w:color w:val="000000"/>
                <w:sz w:val="18"/>
                <w:szCs w:val="18"/>
                <w:lang w:eastAsia="pt-BR"/>
              </w:rPr>
            </w:pPr>
            <w:r w:rsidRPr="00A91D9E">
              <w:rPr>
                <w:rFonts w:ascii="inherit" w:eastAsia="Times New Roman" w:hAnsi="inherit" w:cs="Tahoma"/>
                <w:color w:val="000000"/>
                <w:sz w:val="18"/>
                <w:szCs w:val="18"/>
                <w:lang w:eastAsia="pt-BR"/>
              </w:rPr>
              <w:t xml:space="preserve">LEITE, Rogério </w:t>
            </w:r>
            <w:proofErr w:type="gramStart"/>
            <w:r w:rsidRPr="00A91D9E">
              <w:rPr>
                <w:rFonts w:ascii="inherit" w:eastAsia="Times New Roman" w:hAnsi="inherit" w:cs="Tahoma"/>
                <w:color w:val="000000"/>
                <w:sz w:val="18"/>
                <w:szCs w:val="18"/>
                <w:lang w:eastAsia="pt-BR"/>
              </w:rPr>
              <w:t>Proença..</w:t>
            </w:r>
            <w:proofErr w:type="gramEnd"/>
            <w:r w:rsidRPr="00A91D9E">
              <w:rPr>
                <w:rFonts w:ascii="inherit" w:eastAsia="Times New Roman" w:hAnsi="inherit" w:cs="Tahoma"/>
                <w:color w:val="000000"/>
                <w:sz w:val="18"/>
                <w:szCs w:val="18"/>
                <w:lang w:eastAsia="pt-BR"/>
              </w:rPr>
              <w:t xml:space="preserve"> &lt;</w:t>
            </w:r>
            <w:proofErr w:type="spellStart"/>
            <w:r w:rsidRPr="00A91D9E">
              <w:rPr>
                <w:rFonts w:ascii="inherit" w:eastAsia="Times New Roman" w:hAnsi="inherit" w:cs="Tahoma"/>
                <w:color w:val="000000"/>
                <w:sz w:val="18"/>
                <w:szCs w:val="18"/>
                <w:lang w:eastAsia="pt-BR"/>
              </w:rPr>
              <w:t>strong</w:t>
            </w:r>
            <w:proofErr w:type="spellEnd"/>
            <w:r w:rsidRPr="00A91D9E">
              <w:rPr>
                <w:rFonts w:ascii="inherit" w:eastAsia="Times New Roman" w:hAnsi="inherit" w:cs="Tahoma"/>
                <w:color w:val="000000"/>
                <w:sz w:val="18"/>
                <w:szCs w:val="18"/>
                <w:lang w:eastAsia="pt-BR"/>
              </w:rPr>
              <w:t>&gt;</w:t>
            </w:r>
            <w:proofErr w:type="spellStart"/>
            <w:r w:rsidRPr="00A91D9E">
              <w:rPr>
                <w:rFonts w:ascii="inherit" w:eastAsia="Times New Roman" w:hAnsi="inherit" w:cs="Tahoma"/>
                <w:color w:val="000000"/>
                <w:sz w:val="18"/>
                <w:szCs w:val="18"/>
                <w:lang w:eastAsia="pt-BR"/>
              </w:rPr>
              <w:t>Contra-usos</w:t>
            </w:r>
            <w:proofErr w:type="spellEnd"/>
            <w:r w:rsidRPr="00A91D9E">
              <w:rPr>
                <w:rFonts w:ascii="inherit" w:eastAsia="Times New Roman" w:hAnsi="inherit" w:cs="Tahoma"/>
                <w:color w:val="000000"/>
                <w:sz w:val="18"/>
                <w:szCs w:val="18"/>
                <w:lang w:eastAsia="pt-BR"/>
              </w:rPr>
              <w:t xml:space="preserve"> da cidade: lugares e espaço público na experiência urbana </w:t>
            </w:r>
            <w:proofErr w:type="gramStart"/>
            <w:r w:rsidRPr="00A91D9E">
              <w:rPr>
                <w:rFonts w:ascii="inherit" w:eastAsia="Times New Roman" w:hAnsi="inherit" w:cs="Tahoma"/>
                <w:color w:val="000000"/>
                <w:sz w:val="18"/>
                <w:szCs w:val="18"/>
                <w:lang w:eastAsia="pt-BR"/>
              </w:rPr>
              <w:t>contemporânea.&lt;</w:t>
            </w:r>
            <w:proofErr w:type="gramEnd"/>
            <w:r w:rsidRPr="00A91D9E">
              <w:rPr>
                <w:rFonts w:ascii="inherit" w:eastAsia="Times New Roman" w:hAnsi="inherit" w:cs="Tahoma"/>
                <w:color w:val="000000"/>
                <w:sz w:val="18"/>
                <w:szCs w:val="18"/>
                <w:lang w:eastAsia="pt-BR"/>
              </w:rPr>
              <w:t>/</w:t>
            </w:r>
            <w:proofErr w:type="spellStart"/>
            <w:r w:rsidRPr="00A91D9E">
              <w:rPr>
                <w:rFonts w:ascii="inherit" w:eastAsia="Times New Roman" w:hAnsi="inherit" w:cs="Tahoma"/>
                <w:color w:val="000000"/>
                <w:sz w:val="18"/>
                <w:szCs w:val="18"/>
                <w:lang w:eastAsia="pt-BR"/>
              </w:rPr>
              <w:t>strong</w:t>
            </w:r>
            <w:proofErr w:type="spellEnd"/>
            <w:r w:rsidRPr="00A91D9E">
              <w:rPr>
                <w:rFonts w:ascii="inherit" w:eastAsia="Times New Roman" w:hAnsi="inherit" w:cs="Tahoma"/>
                <w:color w:val="000000"/>
                <w:sz w:val="18"/>
                <w:szCs w:val="18"/>
                <w:lang w:eastAsia="pt-BR"/>
              </w:rPr>
              <w:t xml:space="preserve">&gt;. 1 ed. Campinas: Editora da Unicamp, Aracaju: Editora da UFS. Introdução e Cap. </w:t>
            </w:r>
            <w:proofErr w:type="gramStart"/>
            <w:r w:rsidRPr="00A91D9E">
              <w:rPr>
                <w:rFonts w:ascii="inherit" w:eastAsia="Times New Roman" w:hAnsi="inherit" w:cs="Tahoma"/>
                <w:color w:val="000000"/>
                <w:sz w:val="18"/>
                <w:szCs w:val="18"/>
                <w:lang w:eastAsia="pt-BR"/>
              </w:rPr>
              <w:t>1..</w:t>
            </w:r>
            <w:proofErr w:type="gramEnd"/>
            <w:r w:rsidRPr="00A91D9E">
              <w:rPr>
                <w:rFonts w:ascii="inherit" w:eastAsia="Times New Roman" w:hAnsi="inherit" w:cs="Tahoma"/>
                <w:color w:val="000000"/>
                <w:sz w:val="18"/>
                <w:szCs w:val="18"/>
                <w:lang w:eastAsia="pt-BR"/>
              </w:rPr>
              <w:t xml:space="preserve"> 2004</w:t>
            </w:r>
          </w:p>
        </w:tc>
      </w:tr>
    </w:tbl>
    <w:p w14:paraId="1E3B35B2" w14:textId="77777777" w:rsidR="00A91D9E" w:rsidRPr="00A91D9E" w:rsidRDefault="00A91D9E" w:rsidP="00113AF5">
      <w:pPr>
        <w:spacing w:before="100" w:beforeAutospacing="1" w:after="100" w:afterAutospacing="1" w:line="240" w:lineRule="auto"/>
        <w:jc w:val="both"/>
        <w:rPr>
          <w:rFonts w:ascii="Verdana" w:eastAsia="Times New Roman" w:hAnsi="Verdana" w:cs="Times New Roman"/>
          <w:color w:val="000000"/>
          <w:sz w:val="15"/>
          <w:szCs w:val="15"/>
          <w:lang w:eastAsia="pt-BR"/>
        </w:rPr>
      </w:pPr>
      <w:r w:rsidRPr="00A91D9E">
        <w:rPr>
          <w:rFonts w:ascii="Tahoma" w:eastAsia="Times New Roman" w:hAnsi="Tahoma" w:cs="Tahoma"/>
          <w:color w:val="6A727D"/>
          <w:sz w:val="18"/>
          <w:szCs w:val="18"/>
          <w:shd w:val="clear" w:color="auto" w:fill="F6F6F6"/>
          <w:lang w:eastAsia="pt-BR"/>
        </w:rPr>
        <w:t> </w:t>
      </w:r>
      <w:r w:rsidRPr="00A91D9E">
        <w:rPr>
          <w:rFonts w:ascii="Tahoma" w:eastAsia="Times New Roman" w:hAnsi="Tahoma" w:cs="Tahoma"/>
          <w:color w:val="000000"/>
          <w:sz w:val="18"/>
          <w:szCs w:val="18"/>
          <w:lang w:eastAsia="pt-BR"/>
        </w:rPr>
        <w:t>Museu de Grandes Novidades. Centros Culturais e seu Público. REVISTA HORIZONTE ANTROPOLÓGICOS. Antropologia e Arte.</w:t>
      </w:r>
    </w:p>
    <w:tbl>
      <w:tblPr>
        <w:tblW w:w="13095" w:type="dxa"/>
        <w:tblCellMar>
          <w:left w:w="0" w:type="dxa"/>
          <w:right w:w="0" w:type="dxa"/>
        </w:tblCellMar>
        <w:tblLook w:val="04A0" w:firstRow="1" w:lastRow="0" w:firstColumn="1" w:lastColumn="0" w:noHBand="0" w:noVBand="1"/>
      </w:tblPr>
      <w:tblGrid>
        <w:gridCol w:w="13095"/>
      </w:tblGrid>
      <w:tr w:rsidR="00A91D9E" w:rsidRPr="00A91D9E" w14:paraId="50995897" w14:textId="77777777" w:rsidTr="00A91D9E">
        <w:tc>
          <w:tcPr>
            <w:tcW w:w="0" w:type="auto"/>
            <w:tcBorders>
              <w:top w:val="nil"/>
              <w:left w:val="nil"/>
              <w:bottom w:val="nil"/>
              <w:right w:val="nil"/>
            </w:tcBorders>
            <w:tcMar>
              <w:top w:w="45" w:type="dxa"/>
              <w:left w:w="45" w:type="dxa"/>
              <w:bottom w:w="45" w:type="dxa"/>
              <w:right w:w="45" w:type="dxa"/>
            </w:tcMar>
            <w:vAlign w:val="center"/>
            <w:hideMark/>
          </w:tcPr>
          <w:p w14:paraId="6087B0E0" w14:textId="77777777" w:rsidR="00A91D9E" w:rsidRPr="00A91D9E" w:rsidRDefault="00A91D9E" w:rsidP="00113AF5">
            <w:pPr>
              <w:spacing w:before="120" w:after="120" w:line="240" w:lineRule="auto"/>
              <w:ind w:left="120" w:right="120"/>
              <w:jc w:val="both"/>
              <w:rPr>
                <w:rFonts w:ascii="inherit" w:eastAsia="Times New Roman" w:hAnsi="inherit" w:cs="Tahoma"/>
                <w:color w:val="000000"/>
                <w:sz w:val="18"/>
                <w:szCs w:val="18"/>
                <w:lang w:eastAsia="pt-BR"/>
              </w:rPr>
            </w:pPr>
            <w:r w:rsidRPr="00A91D9E">
              <w:rPr>
                <w:rFonts w:ascii="inherit" w:eastAsia="Times New Roman" w:hAnsi="inherit" w:cs="Tahoma"/>
                <w:color w:val="000000"/>
                <w:sz w:val="18"/>
                <w:szCs w:val="18"/>
                <w:lang w:eastAsia="pt-BR"/>
              </w:rPr>
              <w:t>Vários. &lt;</w:t>
            </w:r>
            <w:proofErr w:type="spellStart"/>
            <w:r w:rsidRPr="00A91D9E">
              <w:rPr>
                <w:rFonts w:ascii="inherit" w:eastAsia="Times New Roman" w:hAnsi="inherit" w:cs="Tahoma"/>
                <w:color w:val="000000"/>
                <w:sz w:val="18"/>
                <w:szCs w:val="18"/>
                <w:lang w:eastAsia="pt-BR"/>
              </w:rPr>
              <w:t>strong</w:t>
            </w:r>
            <w:proofErr w:type="spellEnd"/>
            <w:r w:rsidRPr="00A91D9E">
              <w:rPr>
                <w:rFonts w:ascii="inherit" w:eastAsia="Times New Roman" w:hAnsi="inherit" w:cs="Tahoma"/>
                <w:color w:val="000000"/>
                <w:sz w:val="18"/>
                <w:szCs w:val="18"/>
                <w:lang w:eastAsia="pt-BR"/>
              </w:rPr>
              <w:t xml:space="preserve">&gt;PATRIMÔNIO </w:t>
            </w:r>
            <w:proofErr w:type="gramStart"/>
            <w:r w:rsidRPr="00A91D9E">
              <w:rPr>
                <w:rFonts w:ascii="inherit" w:eastAsia="Times New Roman" w:hAnsi="inherit" w:cs="Tahoma"/>
                <w:color w:val="000000"/>
                <w:sz w:val="18"/>
                <w:szCs w:val="18"/>
                <w:lang w:eastAsia="pt-BR"/>
              </w:rPr>
              <w:t>IMATERIAL.&lt;</w:t>
            </w:r>
            <w:proofErr w:type="gramEnd"/>
            <w:r w:rsidRPr="00A91D9E">
              <w:rPr>
                <w:rFonts w:ascii="inherit" w:eastAsia="Times New Roman" w:hAnsi="inherit" w:cs="Tahoma"/>
                <w:color w:val="000000"/>
                <w:sz w:val="18"/>
                <w:szCs w:val="18"/>
                <w:lang w:eastAsia="pt-BR"/>
              </w:rPr>
              <w:t>/</w:t>
            </w:r>
            <w:proofErr w:type="spellStart"/>
            <w:r w:rsidRPr="00A91D9E">
              <w:rPr>
                <w:rFonts w:ascii="inherit" w:eastAsia="Times New Roman" w:hAnsi="inherit" w:cs="Tahoma"/>
                <w:color w:val="000000"/>
                <w:sz w:val="18"/>
                <w:szCs w:val="18"/>
                <w:lang w:eastAsia="pt-BR"/>
              </w:rPr>
              <w:t>strong</w:t>
            </w:r>
            <w:proofErr w:type="spellEnd"/>
            <w:r w:rsidRPr="00A91D9E">
              <w:rPr>
                <w:rFonts w:ascii="inherit" w:eastAsia="Times New Roman" w:hAnsi="inherit" w:cs="Tahoma"/>
                <w:color w:val="000000"/>
                <w:sz w:val="18"/>
                <w:szCs w:val="18"/>
                <w:lang w:eastAsia="pt-BR"/>
              </w:rPr>
              <w:t xml:space="preserve">&gt;. 1ed. Revista Tempo Brasileiro. R. J., 147:129/139, </w:t>
            </w:r>
            <w:proofErr w:type="spellStart"/>
            <w:r w:rsidRPr="00A91D9E">
              <w:rPr>
                <w:rFonts w:ascii="inherit" w:eastAsia="Times New Roman" w:hAnsi="inherit" w:cs="Tahoma"/>
                <w:color w:val="000000"/>
                <w:sz w:val="18"/>
                <w:szCs w:val="18"/>
                <w:lang w:eastAsia="pt-BR"/>
              </w:rPr>
              <w:t>out.-</w:t>
            </w:r>
            <w:proofErr w:type="gramStart"/>
            <w:r w:rsidRPr="00A91D9E">
              <w:rPr>
                <w:rFonts w:ascii="inherit" w:eastAsia="Times New Roman" w:hAnsi="inherit" w:cs="Tahoma"/>
                <w:color w:val="000000"/>
                <w:sz w:val="18"/>
                <w:szCs w:val="18"/>
                <w:lang w:eastAsia="pt-BR"/>
              </w:rPr>
              <w:t>dez</w:t>
            </w:r>
            <w:proofErr w:type="spellEnd"/>
            <w:r w:rsidRPr="00A91D9E">
              <w:rPr>
                <w:rFonts w:ascii="inherit" w:eastAsia="Times New Roman" w:hAnsi="inherit" w:cs="Tahoma"/>
                <w:color w:val="000000"/>
                <w:sz w:val="18"/>
                <w:szCs w:val="18"/>
                <w:lang w:eastAsia="pt-BR"/>
              </w:rPr>
              <w:t>.,..</w:t>
            </w:r>
            <w:proofErr w:type="gramEnd"/>
            <w:r w:rsidRPr="00A91D9E">
              <w:rPr>
                <w:rFonts w:ascii="inherit" w:eastAsia="Times New Roman" w:hAnsi="inherit" w:cs="Tahoma"/>
                <w:color w:val="000000"/>
                <w:sz w:val="18"/>
                <w:szCs w:val="18"/>
                <w:lang w:eastAsia="pt-BR"/>
              </w:rPr>
              <w:t xml:space="preserve"> 2001</w:t>
            </w:r>
          </w:p>
        </w:tc>
      </w:tr>
    </w:tbl>
    <w:p w14:paraId="5BE8C578" w14:textId="77777777" w:rsidR="00A91D9E" w:rsidRDefault="00A91D9E" w:rsidP="00113AF5">
      <w:pPr>
        <w:spacing w:after="0" w:line="360" w:lineRule="atLeast"/>
        <w:jc w:val="both"/>
        <w:rPr>
          <w:rFonts w:ascii="Times New Roman" w:eastAsia="Times New Roman" w:hAnsi="Times New Roman" w:cs="Times New Roman"/>
          <w:color w:val="000000"/>
          <w:lang w:eastAsia="pt-BR"/>
        </w:rPr>
      </w:pPr>
    </w:p>
    <w:p w14:paraId="7A92953E" w14:textId="6094F8E8" w:rsidR="00A91D9E" w:rsidRPr="00A91D9E" w:rsidRDefault="00A91D9E" w:rsidP="00113AF5">
      <w:pPr>
        <w:spacing w:after="0" w:line="360" w:lineRule="atLeast"/>
        <w:jc w:val="both"/>
        <w:rPr>
          <w:rFonts w:ascii="Times New Roman" w:eastAsia="Times New Roman" w:hAnsi="Times New Roman" w:cs="Times New Roman"/>
          <w:color w:val="000000"/>
          <w:lang w:eastAsia="pt-BR"/>
        </w:rPr>
      </w:pPr>
    </w:p>
    <w:p w14:paraId="268E2FED" w14:textId="77777777" w:rsidR="00A91D9E" w:rsidRPr="00A91D9E" w:rsidRDefault="00A91D9E" w:rsidP="00113AF5">
      <w:pPr>
        <w:jc w:val="both"/>
        <w:rPr>
          <w:rFonts w:ascii="Arial" w:hAnsi="Arial" w:cs="Arial"/>
          <w:color w:val="000000"/>
          <w:shd w:val="clear" w:color="auto" w:fill="FFFFFF"/>
        </w:rPr>
      </w:pPr>
    </w:p>
    <w:p w14:paraId="0BF2C4AF" w14:textId="77777777" w:rsidR="00DB4634" w:rsidRPr="00A91D9E" w:rsidRDefault="00DB4634" w:rsidP="00113AF5">
      <w:pPr>
        <w:jc w:val="both"/>
      </w:pPr>
    </w:p>
    <w:sectPr w:rsidR="00DB4634" w:rsidRPr="00A91D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C584F"/>
    <w:multiLevelType w:val="multilevel"/>
    <w:tmpl w:val="4170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A55DD"/>
    <w:multiLevelType w:val="multilevel"/>
    <w:tmpl w:val="6A84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5286A"/>
    <w:multiLevelType w:val="multilevel"/>
    <w:tmpl w:val="580C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D657A5"/>
    <w:multiLevelType w:val="multilevel"/>
    <w:tmpl w:val="5424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E00BEB"/>
    <w:multiLevelType w:val="multilevel"/>
    <w:tmpl w:val="EA1A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C13C3C"/>
    <w:multiLevelType w:val="multilevel"/>
    <w:tmpl w:val="0BFA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9E6F05"/>
    <w:multiLevelType w:val="multilevel"/>
    <w:tmpl w:val="D782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6123B2"/>
    <w:multiLevelType w:val="multilevel"/>
    <w:tmpl w:val="204E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194EF1"/>
    <w:multiLevelType w:val="multilevel"/>
    <w:tmpl w:val="6C48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48217F"/>
    <w:multiLevelType w:val="multilevel"/>
    <w:tmpl w:val="6C10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F35050"/>
    <w:multiLevelType w:val="multilevel"/>
    <w:tmpl w:val="90F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1A07CF"/>
    <w:multiLevelType w:val="multilevel"/>
    <w:tmpl w:val="776E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10"/>
  </w:num>
  <w:num w:numId="5">
    <w:abstractNumId w:val="1"/>
  </w:num>
  <w:num w:numId="6">
    <w:abstractNumId w:val="2"/>
  </w:num>
  <w:num w:numId="7">
    <w:abstractNumId w:val="6"/>
  </w:num>
  <w:num w:numId="8">
    <w:abstractNumId w:val="9"/>
  </w:num>
  <w:num w:numId="9">
    <w:abstractNumId w:val="3"/>
  </w:num>
  <w:num w:numId="10">
    <w:abstractNumId w:val="8"/>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F0"/>
    <w:rsid w:val="00113AF5"/>
    <w:rsid w:val="001B49F2"/>
    <w:rsid w:val="001B56F0"/>
    <w:rsid w:val="002B080C"/>
    <w:rsid w:val="00306B87"/>
    <w:rsid w:val="00317D72"/>
    <w:rsid w:val="0043123E"/>
    <w:rsid w:val="00490BD7"/>
    <w:rsid w:val="00733983"/>
    <w:rsid w:val="007C4CBE"/>
    <w:rsid w:val="00930162"/>
    <w:rsid w:val="00A13FB2"/>
    <w:rsid w:val="00A91D9E"/>
    <w:rsid w:val="00DB4634"/>
    <w:rsid w:val="00DD14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3AE7"/>
  <w15:chartTrackingRefBased/>
  <w15:docId w15:val="{2F8CD9F6-F038-4F99-8CD4-9F12B9E1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D144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B4634"/>
    <w:rPr>
      <w:b/>
      <w:bCs/>
    </w:rPr>
  </w:style>
  <w:style w:type="character" w:styleId="Hyperlink">
    <w:name w:val="Hyperlink"/>
    <w:basedOn w:val="Fontepargpadro"/>
    <w:uiPriority w:val="99"/>
    <w:semiHidden/>
    <w:unhideWhenUsed/>
    <w:rsid w:val="00306B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39">
      <w:bodyDiv w:val="1"/>
      <w:marLeft w:val="0"/>
      <w:marRight w:val="0"/>
      <w:marTop w:val="0"/>
      <w:marBottom w:val="0"/>
      <w:divBdr>
        <w:top w:val="none" w:sz="0" w:space="0" w:color="auto"/>
        <w:left w:val="none" w:sz="0" w:space="0" w:color="auto"/>
        <w:bottom w:val="none" w:sz="0" w:space="0" w:color="auto"/>
        <w:right w:val="none" w:sz="0" w:space="0" w:color="auto"/>
      </w:divBdr>
    </w:div>
    <w:div w:id="177742067">
      <w:bodyDiv w:val="1"/>
      <w:marLeft w:val="0"/>
      <w:marRight w:val="0"/>
      <w:marTop w:val="0"/>
      <w:marBottom w:val="0"/>
      <w:divBdr>
        <w:top w:val="none" w:sz="0" w:space="0" w:color="auto"/>
        <w:left w:val="none" w:sz="0" w:space="0" w:color="auto"/>
        <w:bottom w:val="none" w:sz="0" w:space="0" w:color="auto"/>
        <w:right w:val="none" w:sz="0" w:space="0" w:color="auto"/>
      </w:divBdr>
    </w:div>
    <w:div w:id="385495120">
      <w:bodyDiv w:val="1"/>
      <w:marLeft w:val="0"/>
      <w:marRight w:val="0"/>
      <w:marTop w:val="0"/>
      <w:marBottom w:val="0"/>
      <w:divBdr>
        <w:top w:val="none" w:sz="0" w:space="0" w:color="auto"/>
        <w:left w:val="none" w:sz="0" w:space="0" w:color="auto"/>
        <w:bottom w:val="none" w:sz="0" w:space="0" w:color="auto"/>
        <w:right w:val="none" w:sz="0" w:space="0" w:color="auto"/>
      </w:divBdr>
      <w:divsChild>
        <w:div w:id="963729018">
          <w:marLeft w:val="0"/>
          <w:marRight w:val="0"/>
          <w:marTop w:val="0"/>
          <w:marBottom w:val="0"/>
          <w:divBdr>
            <w:top w:val="none" w:sz="0" w:space="0" w:color="auto"/>
            <w:left w:val="none" w:sz="0" w:space="0" w:color="auto"/>
            <w:bottom w:val="none" w:sz="0" w:space="0" w:color="auto"/>
            <w:right w:val="none" w:sz="0" w:space="0" w:color="auto"/>
          </w:divBdr>
        </w:div>
        <w:div w:id="948731831">
          <w:marLeft w:val="0"/>
          <w:marRight w:val="0"/>
          <w:marTop w:val="0"/>
          <w:marBottom w:val="0"/>
          <w:divBdr>
            <w:top w:val="none" w:sz="0" w:space="0" w:color="auto"/>
            <w:left w:val="none" w:sz="0" w:space="0" w:color="auto"/>
            <w:bottom w:val="none" w:sz="0" w:space="0" w:color="auto"/>
            <w:right w:val="none" w:sz="0" w:space="0" w:color="auto"/>
          </w:divBdr>
        </w:div>
        <w:div w:id="942999359">
          <w:marLeft w:val="0"/>
          <w:marRight w:val="0"/>
          <w:marTop w:val="0"/>
          <w:marBottom w:val="0"/>
          <w:divBdr>
            <w:top w:val="none" w:sz="0" w:space="0" w:color="auto"/>
            <w:left w:val="none" w:sz="0" w:space="0" w:color="auto"/>
            <w:bottom w:val="none" w:sz="0" w:space="0" w:color="auto"/>
            <w:right w:val="none" w:sz="0" w:space="0" w:color="auto"/>
          </w:divBdr>
        </w:div>
        <w:div w:id="356977746">
          <w:marLeft w:val="0"/>
          <w:marRight w:val="0"/>
          <w:marTop w:val="0"/>
          <w:marBottom w:val="0"/>
          <w:divBdr>
            <w:top w:val="none" w:sz="0" w:space="0" w:color="auto"/>
            <w:left w:val="none" w:sz="0" w:space="0" w:color="auto"/>
            <w:bottom w:val="none" w:sz="0" w:space="0" w:color="auto"/>
            <w:right w:val="none" w:sz="0" w:space="0" w:color="auto"/>
          </w:divBdr>
        </w:div>
        <w:div w:id="627590377">
          <w:marLeft w:val="0"/>
          <w:marRight w:val="0"/>
          <w:marTop w:val="0"/>
          <w:marBottom w:val="0"/>
          <w:divBdr>
            <w:top w:val="none" w:sz="0" w:space="0" w:color="auto"/>
            <w:left w:val="none" w:sz="0" w:space="0" w:color="auto"/>
            <w:bottom w:val="none" w:sz="0" w:space="0" w:color="auto"/>
            <w:right w:val="none" w:sz="0" w:space="0" w:color="auto"/>
          </w:divBdr>
        </w:div>
        <w:div w:id="694309507">
          <w:marLeft w:val="0"/>
          <w:marRight w:val="0"/>
          <w:marTop w:val="0"/>
          <w:marBottom w:val="0"/>
          <w:divBdr>
            <w:top w:val="none" w:sz="0" w:space="0" w:color="auto"/>
            <w:left w:val="none" w:sz="0" w:space="0" w:color="auto"/>
            <w:bottom w:val="none" w:sz="0" w:space="0" w:color="auto"/>
            <w:right w:val="none" w:sz="0" w:space="0" w:color="auto"/>
          </w:divBdr>
        </w:div>
      </w:divsChild>
    </w:div>
    <w:div w:id="408888160">
      <w:bodyDiv w:val="1"/>
      <w:marLeft w:val="0"/>
      <w:marRight w:val="0"/>
      <w:marTop w:val="0"/>
      <w:marBottom w:val="0"/>
      <w:divBdr>
        <w:top w:val="none" w:sz="0" w:space="0" w:color="auto"/>
        <w:left w:val="none" w:sz="0" w:space="0" w:color="auto"/>
        <w:bottom w:val="none" w:sz="0" w:space="0" w:color="auto"/>
        <w:right w:val="none" w:sz="0" w:space="0" w:color="auto"/>
      </w:divBdr>
    </w:div>
    <w:div w:id="417559953">
      <w:bodyDiv w:val="1"/>
      <w:marLeft w:val="0"/>
      <w:marRight w:val="0"/>
      <w:marTop w:val="0"/>
      <w:marBottom w:val="0"/>
      <w:divBdr>
        <w:top w:val="none" w:sz="0" w:space="0" w:color="auto"/>
        <w:left w:val="none" w:sz="0" w:space="0" w:color="auto"/>
        <w:bottom w:val="none" w:sz="0" w:space="0" w:color="auto"/>
        <w:right w:val="none" w:sz="0" w:space="0" w:color="auto"/>
      </w:divBdr>
      <w:divsChild>
        <w:div w:id="1672876862">
          <w:marLeft w:val="0"/>
          <w:marRight w:val="0"/>
          <w:marTop w:val="0"/>
          <w:marBottom w:val="0"/>
          <w:divBdr>
            <w:top w:val="none" w:sz="0" w:space="0" w:color="auto"/>
            <w:left w:val="none" w:sz="0" w:space="0" w:color="auto"/>
            <w:bottom w:val="none" w:sz="0" w:space="0" w:color="auto"/>
            <w:right w:val="none" w:sz="0" w:space="0" w:color="auto"/>
          </w:divBdr>
        </w:div>
        <w:div w:id="1009911472">
          <w:marLeft w:val="0"/>
          <w:marRight w:val="0"/>
          <w:marTop w:val="0"/>
          <w:marBottom w:val="0"/>
          <w:divBdr>
            <w:top w:val="none" w:sz="0" w:space="0" w:color="auto"/>
            <w:left w:val="none" w:sz="0" w:space="0" w:color="auto"/>
            <w:bottom w:val="none" w:sz="0" w:space="0" w:color="auto"/>
            <w:right w:val="none" w:sz="0" w:space="0" w:color="auto"/>
          </w:divBdr>
        </w:div>
      </w:divsChild>
    </w:div>
    <w:div w:id="557866350">
      <w:bodyDiv w:val="1"/>
      <w:marLeft w:val="0"/>
      <w:marRight w:val="0"/>
      <w:marTop w:val="0"/>
      <w:marBottom w:val="0"/>
      <w:divBdr>
        <w:top w:val="none" w:sz="0" w:space="0" w:color="auto"/>
        <w:left w:val="none" w:sz="0" w:space="0" w:color="auto"/>
        <w:bottom w:val="none" w:sz="0" w:space="0" w:color="auto"/>
        <w:right w:val="none" w:sz="0" w:space="0" w:color="auto"/>
      </w:divBdr>
    </w:div>
    <w:div w:id="656111684">
      <w:bodyDiv w:val="1"/>
      <w:marLeft w:val="0"/>
      <w:marRight w:val="0"/>
      <w:marTop w:val="0"/>
      <w:marBottom w:val="0"/>
      <w:divBdr>
        <w:top w:val="none" w:sz="0" w:space="0" w:color="auto"/>
        <w:left w:val="none" w:sz="0" w:space="0" w:color="auto"/>
        <w:bottom w:val="none" w:sz="0" w:space="0" w:color="auto"/>
        <w:right w:val="none" w:sz="0" w:space="0" w:color="auto"/>
      </w:divBdr>
    </w:div>
    <w:div w:id="768542699">
      <w:bodyDiv w:val="1"/>
      <w:marLeft w:val="0"/>
      <w:marRight w:val="0"/>
      <w:marTop w:val="0"/>
      <w:marBottom w:val="0"/>
      <w:divBdr>
        <w:top w:val="none" w:sz="0" w:space="0" w:color="auto"/>
        <w:left w:val="none" w:sz="0" w:space="0" w:color="auto"/>
        <w:bottom w:val="none" w:sz="0" w:space="0" w:color="auto"/>
        <w:right w:val="none" w:sz="0" w:space="0" w:color="auto"/>
      </w:divBdr>
    </w:div>
    <w:div w:id="824707537">
      <w:bodyDiv w:val="1"/>
      <w:marLeft w:val="0"/>
      <w:marRight w:val="0"/>
      <w:marTop w:val="0"/>
      <w:marBottom w:val="0"/>
      <w:divBdr>
        <w:top w:val="none" w:sz="0" w:space="0" w:color="auto"/>
        <w:left w:val="none" w:sz="0" w:space="0" w:color="auto"/>
        <w:bottom w:val="none" w:sz="0" w:space="0" w:color="auto"/>
        <w:right w:val="none" w:sz="0" w:space="0" w:color="auto"/>
      </w:divBdr>
    </w:div>
    <w:div w:id="1014186225">
      <w:bodyDiv w:val="1"/>
      <w:marLeft w:val="0"/>
      <w:marRight w:val="0"/>
      <w:marTop w:val="0"/>
      <w:marBottom w:val="0"/>
      <w:divBdr>
        <w:top w:val="none" w:sz="0" w:space="0" w:color="auto"/>
        <w:left w:val="none" w:sz="0" w:space="0" w:color="auto"/>
        <w:bottom w:val="none" w:sz="0" w:space="0" w:color="auto"/>
        <w:right w:val="none" w:sz="0" w:space="0" w:color="auto"/>
      </w:divBdr>
    </w:div>
    <w:div w:id="1516382283">
      <w:bodyDiv w:val="1"/>
      <w:marLeft w:val="0"/>
      <w:marRight w:val="0"/>
      <w:marTop w:val="0"/>
      <w:marBottom w:val="0"/>
      <w:divBdr>
        <w:top w:val="none" w:sz="0" w:space="0" w:color="auto"/>
        <w:left w:val="none" w:sz="0" w:space="0" w:color="auto"/>
        <w:bottom w:val="none" w:sz="0" w:space="0" w:color="auto"/>
        <w:right w:val="none" w:sz="0" w:space="0" w:color="auto"/>
      </w:divBdr>
    </w:div>
    <w:div w:id="1960914435">
      <w:bodyDiv w:val="1"/>
      <w:marLeft w:val="0"/>
      <w:marRight w:val="0"/>
      <w:marTop w:val="0"/>
      <w:marBottom w:val="0"/>
      <w:divBdr>
        <w:top w:val="none" w:sz="0" w:space="0" w:color="auto"/>
        <w:left w:val="none" w:sz="0" w:space="0" w:color="auto"/>
        <w:bottom w:val="none" w:sz="0" w:space="0" w:color="auto"/>
        <w:right w:val="none" w:sz="0" w:space="0" w:color="auto"/>
      </w:divBdr>
    </w:div>
    <w:div w:id="19691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6</Pages>
  <Words>2570</Words>
  <Characters>13881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Amorim</dc:creator>
  <cp:keywords/>
  <dc:description/>
  <cp:lastModifiedBy>Lara Amorim</cp:lastModifiedBy>
  <cp:revision>8</cp:revision>
  <dcterms:created xsi:type="dcterms:W3CDTF">2021-02-18T22:44:00Z</dcterms:created>
  <dcterms:modified xsi:type="dcterms:W3CDTF">2021-02-19T01:45:00Z</dcterms:modified>
</cp:coreProperties>
</file>